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240" w:line="283" w:lineRule="auto"/>
      </w:pPr>
      <w:r>
        <w:rPr>
          <w:rFonts w:ascii="Aptos" w:hAnsi="Aptos"/>
          <w:b/>
          <w:i w:val="0"/>
          <w:color w:val="4F7CFF"/>
          <w:sz w:val="18"/>
        </w:rPr>
        <w:t>FURKAN SAKIZLI  ·  AI DATA ENGINEERING</w:t>
      </w:r>
    </w:p>
    <w:p>
      <w:pPr>
        <w:spacing w:after="120" w:line="283" w:lineRule="auto"/>
      </w:pPr>
      <w:r>
        <w:rPr>
          <w:rFonts w:ascii="Aptos" w:hAnsi="Aptos"/>
          <w:b/>
          <w:i w:val="0"/>
          <w:color w:val="1A2334"/>
          <w:sz w:val="50"/>
        </w:rPr>
        <w:t>AI data space'leri kime ait?</w:t>
      </w:r>
    </w:p>
    <w:p>
      <w:pPr>
        <w:spacing w:after="160" w:line="283" w:lineRule="auto"/>
      </w:pPr>
      <w:r>
        <w:rPr>
          <w:rFonts w:ascii="Aptos" w:hAnsi="Aptos"/>
          <w:b w:val="0"/>
          <w:i w:val="0"/>
          <w:color w:val="637087"/>
          <w:sz w:val="25"/>
        </w:rPr>
        <w:t>Data space'in tek owner yerine traceable right, federated control, interoperable contract ve dependable exit architecture ile governable olması.</w:t>
      </w:r>
    </w:p>
    <w:p>
      <w:pPr>
        <w:spacing w:after="280" w:line="283" w:lineRule="auto"/>
      </w:pPr>
      <w:r>
        <w:rPr>
          <w:rFonts w:ascii="Aptos" w:hAnsi="Aptos"/>
          <w:b/>
          <w:i w:val="0"/>
          <w:color w:val="4F7CFF"/>
          <w:sz w:val="17"/>
        </w:rPr>
        <w:t>DENEME · AI DATA ENGINEERING · 17 DK OKUMA  ·  Furkan Sakızlı</w:t>
      </w:r>
    </w:p>
    <w:p>
      <w:pPr>
        <w:spacing w:after="280"/>
        <w:jc w:val="center"/>
      </w:pPr>
      <w:r>
        <w:drawing>
          <wp:inline xmlns:a="http://schemas.openxmlformats.org/drawingml/2006/main" xmlns:pic="http://schemas.openxmlformats.org/drawingml/2006/picture">
            <wp:extent cx="6126480" cy="3447977"/>
            <wp:docPr id="1" name="Picture 1" title="AI data space'leri kime ait?" descr="Separate key taşıyan dört transparent room, blue bridge, shared catalogue prism ve open exit path içeren aydınlık federated data-space architecture."/>
            <wp:cNvGraphicFramePr>
              <a:graphicFrameLocks noChangeAspect="1"/>
            </wp:cNvGraphicFramePr>
            <a:graphic>
              <a:graphicData uri="http://schemas.openxmlformats.org/drawingml/2006/picture">
                <pic:pic>
                  <pic:nvPicPr>
                    <pic:cNvPr id="0" name="titelbild.png"/>
                    <pic:cNvPicPr/>
                  </pic:nvPicPr>
                  <pic:blipFill>
                    <a:blip r:embed="rId11"/>
                    <a:stretch>
                      <a:fillRect/>
                    </a:stretch>
                  </pic:blipFill>
                  <pic:spPr>
                    <a:xfrm>
                      <a:off x="0" y="0"/>
                      <a:ext cx="6126480" cy="3447977"/>
                    </a:xfrm>
                    <a:prstGeom prst="rect"/>
                  </pic:spPr>
                </pic:pic>
              </a:graphicData>
            </a:graphic>
          </wp:inline>
        </w:drawing>
      </w:r>
    </w:p>
    <w:tbl>
      <w:tblPr>
        <w:tblW w:type="auto" w:w="0"/>
        <w:jc w:val="center"/>
        <w:tblLayout w:type="fixed"/>
        <w:tblLook w:firstColumn="1" w:firstRow="1" w:lastColumn="0" w:lastRow="0" w:noHBand="0" w:noVBand="1" w:val="04A0"/>
      </w:tblPr>
      <w:tblGrid>
        <w:gridCol w:w="9504"/>
      </w:tblGrid>
      <w:tr>
        <w:trPr>
          <w:cantSplit/>
        </w:trPr>
        <w:tc>
          <w:tcPr>
            <w:tcW w:type="dxa" w:w="9648"/>
            <w:shd w:fill="EEF1F7"/>
            <w:tcMar>
              <w:top w:w="180" w:type="dxa"/>
              <w:start w:w="220" w:type="dxa"/>
              <w:bottom w:w="180" w:type="dxa"/>
              <w:end w:w="220" w:type="dxa"/>
            </w:tcMar>
          </w:tcPr>
          <w:p>
            <w:pPr>
              <w:spacing w:line="276" w:lineRule="auto"/>
            </w:pPr>
            <w:r>
              <w:rPr>
                <w:rFonts w:ascii="Georgia" w:hAnsi="Georgia"/>
                <w:b w:val="0"/>
                <w:i/>
                <w:color w:val="1A2334"/>
                <w:sz w:val="24"/>
              </w:rPr>
              <w:t>Data space nadiren tek bir party'ye aittir. Her data product için decision right, access condition, permitted purpose, evidence ve tested exit açık olduğunda governable olur.</w:t>
            </w:r>
          </w:p>
        </w:tc>
      </w:tr>
    </w:tbl>
    <w:p>
      <w:pPr>
        <w:spacing w:after="140" w:line="283" w:lineRule="auto"/>
      </w:pPr>
      <w:r>
        <w:rPr>
          <w:rFonts w:ascii="Aptos" w:hAnsi="Aptos"/>
          <w:b w:val="0"/>
          <w:i w:val="0"/>
          <w:color w:val="1A2334"/>
          <w:sz w:val="21"/>
        </w:rPr>
        <w:t>AI yalnız model'den oluşmaz. Source, catalogue, interface, identity, contract, feature, vector, log ve derived product ile ortaya çıkar. Birden çok organisation katıldığında “data nerede stored?” sorusu yetmez. Location lawful authority, technical control veya economic benefit'i açıklamaz.</w:t>
      </w:r>
    </w:p>
    <w:p>
      <w:pPr>
        <w:spacing w:after="140" w:line="283" w:lineRule="auto"/>
      </w:pPr>
      <w:r>
        <w:rPr>
          <w:rFonts w:ascii="Aptos" w:hAnsi="Aptos"/>
          <w:b w:val="0"/>
          <w:i w:val="0"/>
          <w:color w:val="1A2334"/>
          <w:sz w:val="21"/>
        </w:rPr>
        <w:t>“Data space kime ait?” sorusu bilerek rahatsız edicidir; ownership tek category olarak çok coarse'tur. Data copy, combine ve concurrent use edilebilir. Personal data masa gibi owned physical object değildir. Trade secret, copyright, database investment, contract ve statutory access claim aynı collection'ı farklı biçimde etkileyebilir.</w:t>
      </w:r>
    </w:p>
    <w:p>
      <w:pPr>
        <w:spacing w:after="140" w:line="283" w:lineRule="auto"/>
      </w:pPr>
      <w:r>
        <w:rPr>
          <w:rFonts w:ascii="Aptos" w:hAnsi="Aptos"/>
          <w:b w:val="0"/>
          <w:i w:val="0"/>
          <w:color w:val="1A2334"/>
          <w:sz w:val="21"/>
        </w:rPr>
        <w:t>Dependable data space tek owner aramak yerine **right, duty, control ve accountability map'i** kurar.</w:t>
      </w:r>
    </w:p>
    <w:p>
      <w:pPr>
        <w:keepNext/>
        <w:spacing w:before="320" w:after="120"/>
      </w:pPr>
      <w:r>
        <w:rPr>
          <w:rFonts w:ascii="Georgia" w:hAnsi="Georgia"/>
          <w:b/>
          <w:i w:val="0"/>
          <w:color w:val="1A2334"/>
          <w:sz w:val="32"/>
        </w:rPr>
        <w:t>Central repository değil federation</w:t>
      </w:r>
    </w:p>
    <w:p>
      <w:pPr>
        <w:spacing w:after="140" w:line="283" w:lineRule="auto"/>
      </w:pPr>
      <w:r>
        <w:rPr>
          <w:rFonts w:ascii="Aptos" w:hAnsi="Aptos"/>
          <w:b w:val="0"/>
          <w:i w:val="0"/>
          <w:color w:val="1A2334"/>
          <w:sz w:val="21"/>
        </w:rPr>
        <w:t>Data space yalnız çok büyük data lake değildir. Federated architecture'da dataset provider'da kalabilir. Shared identity, catalogue, contract, policy rule ve trust service onu discoverable ve conditionally usable yapar. Exchange download, API, secure processing, query veya derived result ile gerçekleşebilir.</w:t>
      </w:r>
    </w:p>
    <w:p>
      <w:pPr>
        <w:spacing w:after="140" w:line="283" w:lineRule="auto"/>
      </w:pPr>
      <w:r>
        <w:rPr>
          <w:rFonts w:ascii="Aptos" w:hAnsi="Aptos"/>
          <w:b w:val="0"/>
          <w:i w:val="0"/>
          <w:color w:val="1A2334"/>
          <w:sz w:val="21"/>
        </w:rPr>
        <w:t>Catalogue entry access değildir; access unrestricted use değildir; technical transfer legal basis değildir. Platform metadata veya transaction aracılık ediyor diye payload'ın owner'ı olmaz.</w:t>
      </w:r>
    </w:p>
    <w:p>
      <w:pPr>
        <w:spacing w:after="140" w:line="283" w:lineRule="auto"/>
      </w:pPr>
      <w:r>
        <w:rPr>
          <w:rFonts w:ascii="Aptos" w:hAnsi="Aptos"/>
          <w:b w:val="0"/>
          <w:i w:val="0"/>
          <w:color w:val="1A2334"/>
          <w:sz w:val="21"/>
        </w:rPr>
        <w:t>Federation power'ı dağıtır fakat yok etmez. Identity kabul eden, standard belirleyen, policy validate eden, catalogue ranking yöneten veya participant çıkaran actor kritik control taşır. Governance common-service operator'ı da sınırlar.</w:t>
      </w:r>
    </w:p>
    <w:p>
      <w:pPr>
        <w:keepNext/>
        <w:spacing w:before="320" w:after="120"/>
      </w:pPr>
      <w:r>
        <w:rPr>
          <w:rFonts w:ascii="Georgia" w:hAnsi="Georgia"/>
          <w:b/>
          <w:i w:val="0"/>
          <w:color w:val="1A2334"/>
          <w:sz w:val="32"/>
        </w:rPr>
        <w:t>Ownership yerine yedi net soru</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**Origin:** data'yı kim veya ne generated, collected ya da derived etti?</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**Legal position:** hangi right, duty, interest ve legal basis geçerli?</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**Decision authority:** purpose, recipient, duration ve condition'ı kim belirler?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**Technical control:** storage, key, identity, policy ve log'u kim işletir?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**Use scope:** hangi action permitted, prohibited veya conditional?</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**Value distribution:** cost'u kim taşır, payment ve derivative benefit'i kim alır?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**Exit:** data, metadata, provenance ve model nasıl port, return veya delete edilir?</w:t>
            </w:r>
          </w:p>
        </w:tc>
      </w:tr>
    </w:tbl>
    <w:p>
      <w:pPr>
        <w:spacing w:after="140" w:line="283" w:lineRule="auto"/>
      </w:pPr>
      <w:r>
        <w:rPr>
          <w:rFonts w:ascii="Aptos" w:hAnsi="Aptos"/>
          <w:b w:val="0"/>
          <w:i w:val="0"/>
          <w:color w:val="1A2334"/>
          <w:sz w:val="21"/>
        </w:rPr>
        <w:t>Answer farklı actor'ları gösterebilir. Provider dataset'i control eder; person privacy right taşır; operator instruction ile process eder; consumer purpose-limited access alır; regulator inspect edebilir.</w:t>
      </w:r>
    </w:p>
    <w:p>
      <w:pPr>
        <w:keepNext/>
        <w:spacing w:before="320" w:after="120"/>
      </w:pPr>
      <w:r>
        <w:rPr>
          <w:rFonts w:ascii="Georgia" w:hAnsi="Georgia"/>
          <w:b/>
          <w:i w:val="0"/>
          <w:color w:val="1A2334"/>
          <w:sz w:val="32"/>
        </w:rPr>
        <w:t>Data layer'ları karıştırma</w:t>
      </w:r>
    </w:p>
    <w:p>
      <w:pPr>
        <w:spacing w:after="140" w:line="283" w:lineRule="auto"/>
      </w:pPr>
      <w:r>
        <w:rPr>
          <w:rFonts w:ascii="Aptos" w:hAnsi="Aptos"/>
          <w:b w:val="0"/>
          <w:i w:val="0"/>
          <w:color w:val="1A2334"/>
          <w:sz w:val="21"/>
        </w:rPr>
        <w:t>AI data space raw record, curated dataset, metadata, embedding, feature, training ve evaluation set, parameter, prompt, output, feedback, log ve usage statistic içerir. Her layer'ın origin ve risk'i farklıdır.</w:t>
      </w:r>
    </w:p>
    <w:p>
      <w:pPr>
        <w:spacing w:after="140" w:line="283" w:lineRule="auto"/>
      </w:pPr>
      <w:r>
        <w:rPr>
          <w:rFonts w:ascii="Aptos" w:hAnsi="Aptos"/>
          <w:b w:val="0"/>
          <w:i w:val="0"/>
          <w:color w:val="1A2334"/>
          <w:sz w:val="21"/>
        </w:rPr>
        <w:t>Embedding human-readable olmadığı için automatically anonymous değildir. Derived score identifiable person ile ilişkiliyse personal data olabilir. Synthetic data source information sızdırabilir veya restriction devralabilir. Model dataset copy'si olmadan training content memorise edebilir.</w:t>
      </w:r>
    </w:p>
    <w:p>
      <w:pPr>
        <w:spacing w:after="140" w:line="283" w:lineRule="auto"/>
      </w:pPr>
      <w:r>
        <w:rPr>
          <w:rFonts w:ascii="Aptos" w:hAnsi="Aptos"/>
          <w:b w:val="0"/>
          <w:i w:val="0"/>
          <w:color w:val="1A2334"/>
          <w:sz w:val="21"/>
        </w:rPr>
        <w:t>Her data product manifest ister: type, source, period, version, transformation chain, personal-data status, protection class, quality limit, permitted purpose, prohibited use, retention ve deletion route.</w:t>
      </w:r>
    </w:p>
    <w:p>
      <w:pPr>
        <w:keepNext/>
        <w:spacing w:before="320" w:after="120"/>
      </w:pPr>
      <w:r>
        <w:rPr>
          <w:rFonts w:ascii="Georgia" w:hAnsi="Georgia"/>
          <w:b/>
          <w:i w:val="0"/>
          <w:color w:val="1A2334"/>
          <w:sz w:val="32"/>
        </w:rPr>
        <w:t>Access ile use aynı değildir</w:t>
      </w:r>
    </w:p>
    <w:p>
      <w:pPr>
        <w:spacing w:after="140" w:line="283" w:lineRule="auto"/>
      </w:pPr>
      <w:r>
        <w:rPr>
          <w:rFonts w:ascii="Aptos" w:hAnsi="Aptos"/>
          <w:b w:val="0"/>
          <w:i w:val="0"/>
          <w:color w:val="1A2334"/>
          <w:sz w:val="21"/>
        </w:rPr>
        <w:t>Partner dataset'i inspect edebilir fakat model train edemeyebilir. Analyse edebilir ama redistribute edemez; aggregate üretebilir ama individual value export edemez; contract için process edebilir fakat product improvement için retain edemez.</w:t>
      </w:r>
    </w:p>
    <w:p>
      <w:pPr>
        <w:spacing w:after="140" w:line="283" w:lineRule="auto"/>
      </w:pPr>
      <w:r>
        <w:rPr>
          <w:rFonts w:ascii="Aptos" w:hAnsi="Aptos"/>
          <w:b w:val="0"/>
          <w:i w:val="0"/>
          <w:color w:val="1A2334"/>
          <w:sz w:val="21"/>
        </w:rPr>
        <w:t>Bu limit'ler contract yanında testable policy, role ve technical gate'e dönüşür. Machine-readable policy model permission, prohibition, duty ve constraint ifade eder. Legal analysis'in yerini almaz, agreed term ile execution'ı bağlar.</w:t>
      </w:r>
    </w:p>
    <w:p>
      <w:pPr>
        <w:spacing w:after="140" w:line="283" w:lineRule="auto"/>
      </w:pPr>
      <w:r>
        <w:rPr>
          <w:rFonts w:ascii="Aptos" w:hAnsi="Aptos"/>
          <w:b w:val="0"/>
          <w:i w:val="0"/>
          <w:color w:val="1A2334"/>
          <w:sz w:val="21"/>
        </w:rPr>
        <w:t>Access token dataset ID, version, purpose, operation, recipient, expiry ve onward-sharing rule referanslar. New purpose new review gerektirir. “Data-space access” general mandate olamaz.</w:t>
      </w:r>
    </w:p>
    <w:p>
      <w:pPr>
        <w:keepNext/>
        <w:spacing w:before="320" w:after="120"/>
      </w:pPr>
      <w:r>
        <w:rPr>
          <w:rFonts w:ascii="Georgia" w:hAnsi="Georgia"/>
          <w:b/>
          <w:i w:val="0"/>
          <w:color w:val="1A2334"/>
          <w:sz w:val="32"/>
        </w:rPr>
        <w:t>Catalogue constitutional layer'dır</w:t>
      </w:r>
    </w:p>
    <w:p>
      <w:pPr>
        <w:spacing w:after="140" w:line="283" w:lineRule="auto"/>
      </w:pPr>
      <w:r>
        <w:rPr>
          <w:rFonts w:ascii="Aptos" w:hAnsi="Aptos"/>
          <w:b w:val="0"/>
          <w:i w:val="0"/>
          <w:color w:val="1A2334"/>
          <w:sz w:val="21"/>
        </w:rPr>
        <w:t>Shared metadata olmadan federated space invisible kalır. Catalogue dataset ve service, publisher, theme, interface, coverage, version ve access condition tanımlar. DCAT gibi standard'lar federated search ve catalogue exchange sağlar.</w:t>
      </w:r>
    </w:p>
    <w:p>
      <w:pPr>
        <w:spacing w:after="140" w:line="283" w:lineRule="auto"/>
      </w:pPr>
      <w:r>
        <w:rPr>
          <w:rFonts w:ascii="Aptos" w:hAnsi="Aptos"/>
          <w:b w:val="0"/>
          <w:i w:val="0"/>
          <w:color w:val="1A2334"/>
          <w:sz w:val="21"/>
        </w:rPr>
        <w:t>Claim evidence ile desteklenir. Quality statement measurement ve date gösterir. Availability, freshness ve licence versioned olur. Policy değişen dataset belirsiz aynı identifier ile dolaşmaz.</w:t>
      </w:r>
    </w:p>
    <w:p>
      <w:pPr>
        <w:spacing w:after="140" w:line="283" w:lineRule="auto"/>
      </w:pPr>
      <w:r>
        <w:rPr>
          <w:rFonts w:ascii="Aptos" w:hAnsi="Aptos"/>
          <w:b w:val="0"/>
          <w:i w:val="0"/>
          <w:color w:val="1A2334"/>
          <w:sz w:val="21"/>
        </w:rPr>
        <w:t>Search ve ranking governance konusudur. Preferential order veya sensitive attribute exposure market access ve risk'i değiştirir. Criterion ve conflict of interest transparent olmalıdır.</w:t>
      </w:r>
    </w:p>
    <w:p>
      <w:pPr>
        <w:keepNext/>
        <w:spacing w:before="320" w:after="120"/>
      </w:pPr>
      <w:r>
        <w:rPr>
          <w:rFonts w:ascii="Georgia" w:hAnsi="Georgia"/>
          <w:b/>
          <w:i w:val="0"/>
          <w:color w:val="1A2334"/>
          <w:sz w:val="32"/>
        </w:rPr>
        <w:t>Identity ve trust verifiable kalmalıdır</w:t>
      </w:r>
    </w:p>
    <w:p>
      <w:pPr>
        <w:spacing w:after="140" w:line="283" w:lineRule="auto"/>
      </w:pPr>
      <w:r>
        <w:rPr>
          <w:rFonts w:ascii="Aptos" w:hAnsi="Aptos"/>
          <w:b w:val="0"/>
          <w:i w:val="0"/>
          <w:color w:val="1A2334"/>
          <w:sz w:val="21"/>
        </w:rPr>
        <w:t>Participant credential'dan fazlasını ister. Organisation, role, representation authority ve relevant attestation doğrulanır. Trust anchor claim'i confirm eder fakat her transaction'ı guarantee etmez. Correctly identified participant data'yı yine misuse edebilir.</w:t>
      </w:r>
    </w:p>
    <w:p>
      <w:pPr>
        <w:spacing w:after="140" w:line="283" w:lineRule="auto"/>
      </w:pPr>
      <w:r>
        <w:rPr>
          <w:rFonts w:ascii="Aptos" w:hAnsi="Aptos"/>
          <w:b w:val="0"/>
          <w:i w:val="0"/>
          <w:color w:val="1A2334"/>
          <w:sz w:val="21"/>
        </w:rPr>
        <w:t>Onboarding identity, policy acceptance, technical check, minimum safeguard ve contact içerir. Offboarding token revoke eder, transfer bitirir, retention duty çözer ve evidence saklar. Forgotten service account access tutmamalıdır.</w:t>
      </w:r>
    </w:p>
    <w:p>
      <w:pPr>
        <w:keepNext/>
        <w:spacing w:before="320" w:after="120"/>
      </w:pPr>
      <w:r>
        <w:rPr>
          <w:rFonts w:ascii="Georgia" w:hAnsi="Georgia"/>
          <w:b/>
          <w:i w:val="0"/>
          <w:color w:val="1A2334"/>
          <w:sz w:val="32"/>
        </w:rPr>
        <w:t>Provenance source, use ve result'ı bağlar</w:t>
      </w:r>
    </w:p>
    <w:p>
      <w:pPr>
        <w:spacing w:after="140" w:line="283" w:lineRule="auto"/>
      </w:pPr>
      <w:r>
        <w:rPr>
          <w:rFonts w:ascii="Aptos" w:hAnsi="Aptos"/>
          <w:b w:val="0"/>
          <w:i w:val="0"/>
          <w:color w:val="1A2334"/>
          <w:sz w:val="21"/>
        </w:rPr>
        <w:t>AI data chain'i uzatır. Output document, table, sensor value, retrieval result ve human correction'ı combine edebilir. Provenance olmadan hangi source'un statement, decision veya model change'i etkilediği bilinmez.</w:t>
      </w:r>
    </w:p>
    <w:p>
      <w:pPr>
        <w:spacing w:after="140" w:line="283" w:lineRule="auto"/>
      </w:pPr>
      <w:r>
        <w:rPr>
          <w:rFonts w:ascii="Aptos" w:hAnsi="Aptos"/>
          <w:b w:val="0"/>
          <w:i w:val="0"/>
          <w:color w:val="1A2334"/>
          <w:sz w:val="21"/>
        </w:rPr>
        <w:t>Provenance graph entity, activity ve accountable agent referanslar. Hangi dataset version'ın hangi process ve artefact'a girdiğini kaydeder. Sensitive payload log'a copy edilmez; stable ID, hash ve protected reference çoğu zaman yeterlidir.</w:t>
      </w:r>
    </w:p>
    <w:p>
      <w:pPr>
        <w:spacing w:after="140" w:line="283" w:lineRule="auto"/>
      </w:pPr>
      <w:r>
        <w:rPr>
          <w:rFonts w:ascii="Aptos" w:hAnsi="Aptos"/>
          <w:b w:val="0"/>
          <w:i w:val="0"/>
          <w:color w:val="1A2334"/>
          <w:sz w:val="21"/>
        </w:rPr>
        <w:t>Provenance payment, quality correction, deletion impact ve dispute destekler. Source withdrawn veya defective olursa hangi product'ın reassess edileceğini gösterir.</w:t>
      </w:r>
    </w:p>
    <w:p>
      <w:pPr>
        <w:keepNext/>
        <w:spacing w:before="320" w:after="120"/>
      </w:pPr>
      <w:r>
        <w:rPr>
          <w:rFonts w:ascii="Georgia" w:hAnsi="Georgia"/>
          <w:b/>
          <w:i w:val="0"/>
          <w:color w:val="1A2334"/>
          <w:sz w:val="32"/>
        </w:rPr>
        <w:t>AI training ayrı rights chain ister</w:t>
      </w:r>
    </w:p>
    <w:p>
      <w:pPr>
        <w:spacing w:after="140" w:line="283" w:lineRule="auto"/>
      </w:pPr>
      <w:r>
        <w:rPr>
          <w:rFonts w:ascii="Aptos" w:hAnsi="Aptos"/>
          <w:b w:val="0"/>
          <w:i w:val="0"/>
          <w:color w:val="1A2334"/>
          <w:sz w:val="21"/>
        </w:rPr>
        <w:t>“Analysis için approved” ifadesi “training için approved” değildir. Training geri alınması zor derivative üretir. Term foundation training, fine-tuning, evaluation, retrieval indexing ve temporary analysis'i ayırır. Commercial use, onward transfer, model access, security research ve output da açıklanır.</w:t>
      </w:r>
    </w:p>
    <w:p>
      <w:pPr>
        <w:spacing w:after="140" w:line="283" w:lineRule="auto"/>
      </w:pPr>
      <w:r>
        <w:rPr>
          <w:rFonts w:ascii="Aptos" w:hAnsi="Aptos"/>
          <w:b w:val="0"/>
          <w:i w:val="0"/>
          <w:color w:val="1A2334"/>
          <w:sz w:val="21"/>
        </w:rPr>
        <w:t>Authority source'a kadar trace edilir. Data space participant'ın sahip olduğundan broad right veremez. Missing evidence dataset'in training corpus'a silent inclusion'ını block eder.</w:t>
      </w:r>
    </w:p>
    <w:p>
      <w:pPr>
        <w:spacing w:after="140" w:line="283" w:lineRule="auto"/>
      </w:pPr>
      <w:r>
        <w:rPr>
          <w:rFonts w:ascii="Aptos" w:hAnsi="Aptos"/>
          <w:b w:val="0"/>
          <w:i w:val="0"/>
          <w:color w:val="1A2334"/>
          <w:sz w:val="21"/>
        </w:rPr>
        <w:t>Personal data için purpose limitation, legal basis, transparency, minimisation ve individual right geçerlidir. Organisation'lar arası agreement automatic privacy permission yaratmaz.</w:t>
      </w:r>
    </w:p>
    <w:p>
      <w:pPr>
        <w:keepNext/>
        <w:spacing w:before="320" w:after="120"/>
      </w:pPr>
      <w:r>
        <w:rPr>
          <w:rFonts w:ascii="Georgia" w:hAnsi="Georgia"/>
          <w:b/>
          <w:i w:val="0"/>
          <w:color w:val="1A2334"/>
          <w:sz w:val="32"/>
        </w:rPr>
        <w:t>Data Act access düzenler, universal ownership değil</w:t>
      </w:r>
    </w:p>
    <w:p>
      <w:pPr>
        <w:spacing w:after="140" w:line="283" w:lineRule="auto"/>
      </w:pPr>
      <w:r>
        <w:rPr>
          <w:rFonts w:ascii="Aptos" w:hAnsi="Aptos"/>
          <w:b w:val="0"/>
          <w:i w:val="0"/>
          <w:color w:val="1A2334"/>
          <w:sz w:val="21"/>
        </w:rPr>
        <w:t>EU Data Act connected product ve related service data'sı, user ve third party'ye availability ve data-processing service switching üzerine rule içerir. Concrete access ve use relationship yaratır; bütün generated data için universal ownership oluşturmaz.</w:t>
      </w:r>
    </w:p>
    <w:p>
      <w:pPr>
        <w:spacing w:after="140" w:line="283" w:lineRule="auto"/>
      </w:pPr>
      <w:r>
        <w:rPr>
          <w:rFonts w:ascii="Aptos" w:hAnsi="Aptos"/>
          <w:b w:val="0"/>
          <w:i w:val="0"/>
          <w:color w:val="1A2334"/>
          <w:sz w:val="21"/>
        </w:rPr>
        <w:t>Data Governance Act farklı building block'ları kapsar: belirli protected public-sector data reuse, data intermediation service ve data altruism. Privacy law uygulanmaya devam eder. Architecture bunları tek “EU compliant” label yerine distinct policy profile olarak modellemelidir.</w:t>
      </w:r>
    </w:p>
    <w:p>
      <w:pPr>
        <w:keepNext/>
        <w:spacing w:before="320" w:after="120"/>
      </w:pPr>
      <w:r>
        <w:rPr>
          <w:rFonts w:ascii="Georgia" w:hAnsi="Georgia"/>
          <w:b/>
          <w:i w:val="0"/>
          <w:color w:val="1A2334"/>
          <w:sz w:val="32"/>
        </w:rPr>
        <w:t>Exit olmadan portability eksiktir</w:t>
      </w:r>
    </w:p>
    <w:p>
      <w:pPr>
        <w:spacing w:after="140" w:line="283" w:lineRule="auto"/>
      </w:pPr>
      <w:r>
        <w:rPr>
          <w:rFonts w:ascii="Aptos" w:hAnsi="Aptos"/>
          <w:b w:val="0"/>
          <w:i w:val="0"/>
          <w:color w:val="1A2334"/>
          <w:sz w:val="21"/>
        </w:rPr>
        <w:t>Sovereignty switching sırasında kanıtlanır. Credible exit primary data, metadata, version, policy, provenance, quality evidence ve relevant configuration'ı documented format ile export eder. Deadline, cost, support ve deletion confirmation belirler.</w:t>
      </w:r>
    </w:p>
    <w:p>
      <w:pPr>
        <w:spacing w:after="140" w:line="283" w:lineRule="auto"/>
      </w:pPr>
      <w:r>
        <w:rPr>
          <w:rFonts w:ascii="Aptos" w:hAnsi="Aptos"/>
          <w:b w:val="0"/>
          <w:i w:val="0"/>
          <w:color w:val="1A2334"/>
          <w:sz w:val="21"/>
        </w:rPr>
        <w:t>AI için vector index, evaluation case, feedback history ve traceable model adapter eklenir. Her şey portable değildir; proprietary runtime component limit yaratabilir. Bu limit contract öncesinde görünmelidir. Import path olmadan export file portability değildir.</w:t>
      </w:r>
    </w:p>
    <w:p>
      <w:pPr>
        <w:spacing w:after="140" w:line="283" w:lineRule="auto"/>
      </w:pPr>
      <w:r>
        <w:rPr>
          <w:rFonts w:ascii="Aptos" w:hAnsi="Aptos"/>
          <w:b w:val="0"/>
          <w:i w:val="0"/>
          <w:color w:val="1A2334"/>
          <w:sz w:val="21"/>
        </w:rPr>
        <w:t>Exit test edilir. Completeness, restart time, functional loss ve residual dependency ölçülür. Open standard lock-in'i azaltır fakat semantics ve exercise olmadan functional switching garanti etmez.</w:t>
      </w:r>
    </w:p>
    <w:p>
      <w:pPr>
        <w:keepNext/>
        <w:spacing w:before="320" w:after="120"/>
      </w:pPr>
      <w:r>
        <w:rPr>
          <w:rFonts w:ascii="Georgia" w:hAnsi="Georgia"/>
          <w:b/>
          <w:i w:val="0"/>
          <w:color w:val="1A2334"/>
          <w:sz w:val="32"/>
        </w:rPr>
        <w:t>Control plane hidden owner olmamalıdır</w:t>
      </w:r>
    </w:p>
    <w:p>
      <w:pPr>
        <w:spacing w:after="140" w:line="283" w:lineRule="auto"/>
      </w:pPr>
      <w:r>
        <w:rPr>
          <w:rFonts w:ascii="Aptos" w:hAnsi="Aptos"/>
          <w:b w:val="0"/>
          <w:i w:val="0"/>
          <w:color w:val="1A2334"/>
          <w:sz w:val="21"/>
        </w:rPr>
        <w:t>Identity, catalogue, policy, billing ve audit common control plane oluşturur. Extensive metadata görür ve access'i etkiler. Bu nedenle purpose limitation, separated role, transparent rule, auditability ve replaceable component gerekir.</w:t>
      </w:r>
    </w:p>
    <w:p>
      <w:pPr>
        <w:spacing w:after="140" w:line="283" w:lineRule="auto"/>
      </w:pPr>
      <w:r>
        <w:rPr>
          <w:rFonts w:ascii="Aptos" w:hAnsi="Aptos"/>
          <w:b w:val="0"/>
          <w:i w:val="0"/>
          <w:color w:val="1A2334"/>
          <w:sz w:val="21"/>
        </w:rPr>
        <w:t>Operator transaction data'yı kendi model veya market analysis'i için automatically kullanamaz. Secondary use separate authority ister. Log protection need'e göre minimise ve retain edilir; manipulation önlenir fakat default olarak sonsuza kadar saklanmaz.</w:t>
      </w:r>
    </w:p>
    <w:p>
      <w:pPr>
        <w:keepNext/>
        <w:spacing w:before="320" w:after="120"/>
      </w:pPr>
      <w:r>
        <w:rPr>
          <w:rFonts w:ascii="Georgia" w:hAnsi="Georgia"/>
          <w:b/>
          <w:i w:val="0"/>
          <w:color w:val="1A2334"/>
          <w:sz w:val="32"/>
        </w:rPr>
        <w:t>Data-Space Charter right'ı operation'a çevirir</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**INVENTORY:** data product, derivative, role ve system belirle.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**CLASSIFY:** personal data, protected interest, secret, impact ve quality değerlendir.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**AUTHORISE:** purpose, operation, recipient, duration ve duty tanımla.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**CATALOGUE:** standardised, versioned ve evidenced metadata publish et.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**EXCHANGE:** minimum necessary data'yı controlled interface ile sağla.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**TRACE:** source, policy, activity ve result'ı provenance ile bağla.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**ENFORCE:** violation durdur, token revoke et ve incident yönet.</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8</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**SETTLE:** payment, correction, liability ve dispute düzenle.</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9</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**EXIT:** portability, deletion, evidence ve offboarding test et.</w:t>
            </w:r>
          </w:p>
        </w:tc>
      </w:tr>
    </w:tbl>
    <w:p>
      <w:pPr>
        <w:spacing w:after="140" w:line="283" w:lineRule="auto"/>
      </w:pPr>
      <w:r>
        <w:rPr>
          <w:rFonts w:ascii="Aptos" w:hAnsi="Aptos"/>
          <w:b w:val="0"/>
          <w:i w:val="0"/>
          <w:color w:val="1A2334"/>
          <w:sz w:val="21"/>
        </w:rPr>
        <w:t>Data space yalnız operator, provider veya AI'ya ait değildir. Participant'lar arasında governed relationship'tir. Sovereignty her şeye sahip olmak değil; right'ı kanıtlamak, limit'i enforce etmek, dependency'yi anlamak ve control kaybetmeden çıkmaktır.</w:t>
      </w:r>
    </w:p>
    <w:p>
      <w:pPr>
        <w:keepNext/>
        <w:spacing w:before="320" w:after="120"/>
      </w:pPr>
      <w:r>
        <w:rPr>
          <w:rFonts w:ascii="Georgia" w:hAnsi="Georgia"/>
          <w:b/>
          <w:i w:val="0"/>
          <w:color w:val="1A2334"/>
          <w:sz w:val="32"/>
        </w:rPr>
        <w:t>Alıştırma: Data-Space Rights Map tasarla</w:t>
      </w:r>
    </w:p>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1</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Bir data product seç; raw data, derivative, metadata, output ve log'u ayır.</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2</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Her layer'a origin, legal position, decision maker ve technical controller ata.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3</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Permitted purpose, prohibited use, duty ve expiry tanımla.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4</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Catalogue field, quality evidence ve version logic yaz.</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5</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Identity, authorisation, exchange ve provenance path çiz.</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6</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Payment, incident, correction ve dispute process tanımla.</w:t>
            </w:r>
          </w:p>
        </w:tc>
      </w:tr>
    </w:tbl>
    <w:tbl>
      <w:tblPr>
        <w:tblW w:type="auto" w:w="0"/>
        <w:jc w:val="center"/>
        <w:tblLayout w:type="fixed"/>
        <w:tblLook w:firstColumn="1" w:firstRow="1" w:lastColumn="0" w:lastRow="0" w:noHBand="0" w:noVBand="1" w:val="04A0"/>
      </w:tblPr>
      <w:tblGrid>
        <w:gridCol w:w="720"/>
        <w:gridCol w:w="8784"/>
      </w:tblGrid>
      <w:tr>
        <w:trPr>
          <w:cantSplit/>
        </w:trPr>
        <w:tc>
          <w:tcPr>
            <w:tcW w:type="dxa" w:w="4824"/>
            <w:shd w:fill="4F7CFF"/>
            <w:tcMar>
              <w:top w:w="120" w:type="dxa"/>
              <w:start w:w="100" w:type="dxa"/>
              <w:bottom w:w="120" w:type="dxa"/>
              <w:end w:w="100" w:type="dxa"/>
            </w:tcMar>
            <w:vAlign w:val="center"/>
          </w:tcPr>
          <w:p>
            <w:pPr>
              <w:jc w:val="center"/>
            </w:pPr>
            <w:r>
              <w:rPr>
                <w:rFonts w:ascii="Aptos" w:hAnsi="Aptos"/>
                <w:b/>
                <w:i w:val="0"/>
                <w:color w:val="FFFFFF"/>
                <w:sz w:val="22"/>
              </w:rPr>
              <w:t>7</w:t>
            </w:r>
          </w:p>
        </w:tc>
        <w:tc>
          <w:tcPr>
            <w:tcW w:type="dxa" w:w="4824"/>
            <w:shd w:fill="EEF1F7"/>
            <w:tcMar>
              <w:top w:w="120" w:type="dxa"/>
              <w:start w:w="160" w:type="dxa"/>
              <w:bottom w:w="120" w:type="dxa"/>
              <w:end w:w="160" w:type="dxa"/>
            </w:tcMar>
            <w:vAlign w:val="center"/>
          </w:tcPr>
          <w:p>
            <w:r>
              <w:rPr>
                <w:rFonts w:ascii="Aptos" w:hAnsi="Aptos"/>
                <w:b w:val="0"/>
                <w:i w:val="0"/>
                <w:color w:val="1A2334"/>
                <w:sz w:val="19"/>
              </w:rPr>
              <w:t>Export, import, deletion ve evidence içeren exit test uygula.</w:t>
            </w:r>
          </w:p>
        </w:tc>
      </w:tr>
    </w:tbl>
    <w:p>
      <w:pPr>
        <w:keepNext/>
        <w:spacing w:before="220" w:after="120"/>
      </w:pPr>
      <w:r>
        <w:rPr>
          <w:rFonts w:ascii="Georgia" w:hAnsi="Georgia"/>
          <w:b/>
          <w:i w:val="0"/>
          <w:color w:val="1A2334"/>
          <w:sz w:val="25"/>
        </w:rPr>
        <w:t>Yansıtma</w:t>
      </w:r>
    </w:p>
    <w:p>
      <w:pPr>
        <w:spacing w:after="140" w:line="283" w:lineRule="auto"/>
      </w:pPr>
      <w:r>
        <w:rPr>
          <w:rFonts w:ascii="Aptos" w:hAnsi="Aptos"/>
          <w:b w:val="0"/>
          <w:i w:val="0"/>
          <w:color w:val="1A2334"/>
          <w:sz w:val="21"/>
        </w:rPr>
        <w:t>Bugün hangi actor explicit authority olmadan data üzerinde karar verebiliyor? ___________________________</w:t>
      </w:r>
    </w:p>
    <w:p>
      <w:pPr>
        <w:spacing w:after="140" w:line="283" w:lineRule="auto"/>
      </w:pPr>
      <w:r>
        <w:rPr>
          <w:rFonts w:ascii="Aptos" w:hAnsi="Aptos"/>
          <w:b w:val="0"/>
          <w:i w:val="0"/>
          <w:color w:val="1A2334"/>
          <w:sz w:val="21"/>
        </w:rPr>
        <w:t>Provider switching sırasında hangi information irretrievably lost olur? ______________________________</w:t>
      </w:r>
    </w:p>
    <w:p>
      <w:pPr>
        <w:keepNext/>
        <w:spacing w:before="320" w:after="120"/>
      </w:pPr>
      <w:r>
        <w:rPr>
          <w:rFonts w:ascii="Georgia" w:hAnsi="Georgia"/>
          <w:b/>
          <w:i w:val="0"/>
          <w:color w:val="1A2334"/>
          <w:sz w:val="32"/>
        </w:rPr>
        <w:t>Kaynaklar ve mesleki kapsam</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Data Act – Regulation (EU) 2023/2854](https://eur-lex.europa.eu/eli/reg/2023/2854/oj/eng) – fair data access ve use, user right, data sharing ve data-processing service switching için harmonised rule.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[EU Data Governance Act – Regulation (EU) 2022/868](https://eur-lex.europa.eu/eli/reg/2022/868/oj/eng) – belirli protected public-sector data reuse, data intermediation service ve data altruism governance'i.</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[GDPR – Regulation (EU) 2016/679](https://eur-lex.europa.eu/eli/reg/2016/679/oj/eng) – personal-data processing'de role, legal basis ve right.</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[A European strategy for data](https://commission.europa.eu/document/download/e052551b-50d9-4c7d-9166-95b7718a80b6_en) – sectoral common European data space için policy framework.</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DCAT 3](https://www.w3.org/TR/vocab-dcat-3/) – federated catalogue'da dataset ve data service'in interoperable description'ı.</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ODRL Information Model 2.2](https://www.w3.org/TR/odrl-model/) – permission, prohibition, duty ve constraint'in machine-readable ifadesi.</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[W3C PROV-O](https://www.w3.org/TR/prov-o/) – entity, activity ve agent arasında interoperable provenance.</w:t>
      </w:r>
    </w:p>
    <w:p>
      <w:pPr>
        <w:spacing w:after="100" w:line="269" w:lineRule="auto"/>
        <w:ind w:left="360" w:hanging="259"/>
      </w:pPr>
      <w:r>
        <w:rPr>
          <w:rFonts w:ascii="Aptos" w:hAnsi="Aptos"/>
          <w:b/>
          <w:i w:val="0"/>
          <w:color w:val="4F7CFF"/>
          <w:sz w:val="20"/>
        </w:rPr>
        <w:t xml:space="preserve">•  </w:t>
      </w:r>
      <w:r>
        <w:rPr>
          <w:rFonts w:ascii="Aptos" w:hAnsi="Aptos"/>
          <w:b w:val="0"/>
          <w:i w:val="0"/>
          <w:color w:val="1A2334"/>
          <w:sz w:val="18"/>
        </w:rPr>
        <w:t>[Gaia-X Architecture Document 25.05](https://docs.gaia-x.eu/technical-committee/architecture-document/25.05/pdf/document.pdf) – federated governance, trust anchor, verifiable claim, onboarding ve offboarding.</w:t>
      </w:r>
    </w:p>
    <w:p>
      <w:r>
        <w:br w:type="page"/>
      </w:r>
    </w:p>
    <w:p>
      <w:pPr>
        <w:keepNext/>
        <w:spacing w:before="320" w:after="120"/>
      </w:pPr>
      <w:r>
        <w:rPr>
          <w:rFonts w:ascii="Georgia" w:hAnsi="Georgia"/>
          <w:b/>
          <w:i w:val="0"/>
          <w:color w:val="1A2334"/>
          <w:sz w:val="32"/>
        </w:rPr>
        <w:t>Çalışma şablonu: Data-Space Rights Map</w:t>
      </w:r>
    </w:p>
    <w:tbl>
      <w:tblPr>
        <w:tblW w:type="auto" w:w="0"/>
        <w:jc w:val="center"/>
        <w:tblLayout w:type="fixed"/>
        <w:tblLook w:firstColumn="1" w:firstRow="1" w:lastColumn="0" w:lastRow="0" w:noHBand="0" w:noVBand="1" w:val="04A0"/>
      </w:tblPr>
      <w:tblGrid>
        <w:gridCol w:w="3384"/>
        <w:gridCol w:w="6120"/>
      </w:tblGrid>
      <w:tr>
        <w:trPr>
          <w:cantSplit/>
        </w:trPr>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Alan</w:t>
            </w:r>
          </w:p>
        </w:tc>
        <w:tc>
          <w:tcPr>
            <w:tcW w:type="dxa" w:w="4824"/>
            <w:shd w:fill="1A2334"/>
            <w:tcMar>
              <w:top w:w="120" w:type="dxa"/>
              <w:start w:w="150" w:type="dxa"/>
              <w:bottom w:w="120" w:type="dxa"/>
              <w:end w:w="150" w:type="dxa"/>
            </w:tcMar>
            <w:tcBorders>
              <w:top w:val="single" w:sz="4" w:color="FFFFFF"/>
              <w:start w:val="single" w:sz="4" w:color="FFFFFF"/>
              <w:bottom w:val="single" w:sz="4" w:color="FFFFFF"/>
              <w:end w:val="single" w:sz="4" w:color="FFFFFF"/>
              <w:insideH w:val="single" w:sz="4" w:color="FFFFFF"/>
              <w:insideV w:val="single" w:sz="4" w:color="FFFFFF"/>
            </w:tcBorders>
          </w:tcPr>
          <w:p>
            <w:r>
              <w:rPr>
                <w:rFonts w:ascii="Aptos" w:hAnsi="Aptos"/>
                <w:b/>
                <w:i w:val="0"/>
                <w:color w:val="FFFFFF"/>
                <w:sz w:val="18"/>
              </w:rPr>
              <w:t>Kayıt</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Data product / layer</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Origin / right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Authority / controller</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Purpose / permission</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Policy / provenance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Value / dispute</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r>
        <w:trPr>
          <w:cantSplit/>
        </w:trPr>
        <w:tc>
          <w:tcPr>
            <w:tcW w:type="dxa" w:w="4824"/>
            <w:shd w:fill="EEF1F7"/>
            <w:tcMar>
              <w:top w:w="150" w:type="dxa"/>
              <w:start w:w="150" w:type="dxa"/>
              <w:bottom w:w="15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i w:val="0"/>
                <w:color w:val="1A2334"/>
                <w:sz w:val="17"/>
              </w:rPr>
              <w:t>Portability / exit</w:t>
            </w:r>
          </w:p>
        </w:tc>
        <w:tc>
          <w:tcPr>
            <w:tcW w:type="dxa" w:w="4824"/>
            <w:tcMar>
              <w:top w:w="220" w:type="dxa"/>
              <w:start w:w="150" w:type="dxa"/>
              <w:bottom w:w="220" w:type="dxa"/>
              <w:end w:w="150" w:type="dxa"/>
            </w:tcMar>
            <w:tcBorders>
              <w:top w:val="single" w:sz="6" w:color="DCE2ED"/>
              <w:start w:val="single" w:sz="6" w:color="DCE2ED"/>
              <w:bottom w:val="single" w:sz="6" w:color="DCE2ED"/>
              <w:end w:val="single" w:sz="6" w:color="DCE2ED"/>
              <w:insideH w:val="single" w:sz="6" w:color="DCE2ED"/>
              <w:insideV w:val="single" w:sz="6" w:color="DCE2ED"/>
            </w:tcBorders>
          </w:tcPr>
          <w:p>
            <w:r>
              <w:rPr>
                <w:rFonts w:ascii="Aptos" w:hAnsi="Aptos"/>
                <w:b w:val="0"/>
                <w:i w:val="0"/>
                <w:color w:val="1A2334"/>
                <w:sz w:val="20"/>
              </w:rPr>
              <w:t xml:space="preserve"> </w:t>
            </w:r>
          </w:p>
        </w:tc>
      </w:tr>
    </w:tbl>
    <w:sectPr w:rsidR="00FC693F" w:rsidRPr="0006063C" w:rsidSect="00034616">
      <w:headerReference w:type="default" r:id="rId9"/>
      <w:footerReference w:type="default" r:id="rId10"/>
      <w:pgSz w:w="12240" w:h="15840"/>
      <w:pgMar w:top="1123" w:right="1296" w:bottom="1123"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ptos" w:hAnsi="Aptos"/>
        <w:b w:val="0"/>
        <w:i w:val="0"/>
        <w:color w:val="637087"/>
        <w:sz w:val="16"/>
      </w:rPr>
      <w:t>AI data space'leri kime ait?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rPr>
        <w:rFonts w:ascii="Aptos" w:hAnsi="Aptos"/>
        <w:b/>
        <w:i w:val="0"/>
        <w:color w:val="637087"/>
        <w:sz w:val="17"/>
      </w:rPr>
      <w:t>FURKAN SAKIZLI  ·  AI DATA ENGINEERING</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