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20" w:line="240" w:lineRule="auto"/>
      </w:pPr>
      <w:r>
        <w:rPr>
          <w:rFonts w:ascii="IBM Plex Mono" w:hAnsi="IBM Plex Mono" w:eastAsia="IBM Plex Mono"/>
          <w:b/>
          <w:i w:val="0"/>
          <w:color w:val="4F7CFF"/>
          <w:sz w:val="18"/>
        </w:rPr>
        <w:t>FURKAN SAKIZLI</w:t>
      </w:r>
      <w:r>
        <w:rPr>
          <w:rFonts w:ascii="IBM Plex Mono" w:hAnsi="IBM Plex Mono" w:eastAsia="IBM Plex Mono"/>
          <w:b w:val="0"/>
          <w:i w:val="0"/>
          <w:color w:val="637087"/>
          <w:sz w:val="18"/>
        </w:rPr>
        <w:t xml:space="preserve">  ·  YAZI · YAPAY ZEKÂ VE İŞ</w:t>
      </w:r>
    </w:p>
    <w:p>
      <w:pPr>
        <w:spacing w:after="160" w:line="235" w:lineRule="auto"/>
      </w:pPr>
      <w:r>
        <w:rPr>
          <w:rFonts w:ascii="Fraunces" w:hAnsi="Fraunces" w:eastAsia="Fraunces"/>
          <w:b/>
          <w:i w:val="0"/>
          <w:color w:val="1A2334"/>
          <w:sz w:val="56"/>
        </w:rPr>
        <w:t>İnsanlar ve modeller için ikinci bir beyin</w:t>
      </w:r>
    </w:p>
    <w:p>
      <w:pPr>
        <w:spacing w:after="340" w:line="293" w:lineRule="auto"/>
      </w:pPr>
      <w:r>
        <w:rPr>
          <w:rFonts w:ascii="Source Serif 4" w:hAnsi="Source Serif 4" w:eastAsia="Source Serif 4"/>
          <w:b w:val="0"/>
          <w:i/>
          <w:color w:val="637087"/>
          <w:sz w:val="26"/>
        </w:rPr>
        <w:t>Notlar, kararlar ve bağlantılardan okunabilir bir bilgi sisteminin nasıl oluştuğu.</w:t>
      </w:r>
    </w:p>
    <w:p>
      <w:pPr>
        <w:spacing w:after="420"/>
      </w:pPr>
      <w:r>
        <w:rPr>
          <w:rFonts w:ascii="IBM Plex Mono" w:hAnsi="IBM Plex Mono" w:eastAsia="IBM Plex Mono"/>
          <w:b w:val="0"/>
          <w:i w:val="0"/>
          <w:color w:val="4F7CFF"/>
          <w:sz w:val="17"/>
        </w:rPr>
        <w:t>7 DK. OKUMA  ·  Furkan Sakızlı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EEF1F7"/>
            <w:tcMar>
              <w:top w:w="190" w:type="dxa"/>
              <w:start w:w="220" w:type="dxa"/>
              <w:bottom w:w="190" w:type="dxa"/>
              <w:end w:w="220" w:type="dxa"/>
            </w:tcMar>
            <w:vAlign w:val="center"/>
          </w:tcPr>
          <w:p>
            <w:pPr>
              <w:spacing w:line="307" w:lineRule="auto"/>
            </w:pPr>
            <w:r>
              <w:rPr>
                <w:rFonts w:ascii="Source Serif 4" w:hAnsi="Source Serif 4" w:eastAsia="Source Serif 4"/>
                <w:b w:val="0"/>
                <w:i/>
                <w:color w:val="1A2334"/>
                <w:sz w:val="25"/>
              </w:rPr>
              <w:t>Bilgi çoğu zaman hiç kaydedilmediği için kaybolmaz. Sonradan bulunamadığı, anlamlandırılamadığı veya geliştirilemediği için kaybolur. İkinci beyin bunu kusursuz bir uygulamayla değil, basit bir sözle çözer: önemli olan her şeyin bir yeri, anlaşılır bir adı ve ondan sonra gelenle bir bağlantısı olur.</w:t>
            </w:r>
          </w:p>
        </w:tc>
      </w:tr>
    </w:tbl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Daha çok toplama, yeniden bul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Birçok klasör tavan arası gibi büyür. PDF’ler, ekran görüntüleri, sohbet alıntıları ve dağınık fikirler vardır; fakat temel sorunun açık bir cevabı yoktur: Bunlardan hangisi bugün hâlâ geçerli? Bu yüzden ikinci beyin dijital depo değildir. Sonradan yeniden girebileceğin çalışma alanıdır.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Ölçüt şaşırtıcı derecede insandır: Üç ay sonra bir notun neden var olduğunu, neye bağlı olduğunu ve onunla ne yapmak istediğini anlayabiliyor musun? Anlayabiliyorsan bir model de çok daha az açıklamayla onunla anlamlı çalışabilir.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En küçük işe yarar yapı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Başlangıçta veri tabanına veya karmaşık sınıflandırmaya ihtiyacın yok. Üç not türü yeter: kaynaklar gördüğünü ya da okuduğunu kaydeder; kararlar proje için neyin geçerli olduğunu tutar; çalışma notları ikisini sonraki eyleme bağlar.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Klasörler sakin bir çerçeve verir. Bağlantılar anlam verir. Müşteri görüşmesi notu, alınan karara ve ondan doğan taslağa yönlendirdiğinde değer kazanır. Böylece kopuk yığın değil, izlenebilir yol oluşur.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İnsanlar için okunur, modeller için kullanılabilir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İyi bilgi tabanının gizemli ya da teknik olması gerekmez. Açık başlıklar, kısa paragraflar, tarih, belirtilmiş durum ve net bağlantılar onu senin için okunur yapar. Aynı açıklık modele de yardımcı olur: düzensiz malzeme dağını yorumlamak yerine ilgili bölümleri daha hedefli bulabilir.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Amaç düşünceni modele bırakmak değildir. Düşünceni, neyi benimseyeceğine, eleyeceğine ya da geliştireceğine yine sen karar verecek kadar açık kaydetmektir.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Büyümesine izin verilen küçük vault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80" w:type="dxa"/>
              <w:start w:w="210" w:type="dxa"/>
              <w:bottom w:w="180" w:type="dxa"/>
              <w:end w:w="210" w:type="dxa"/>
            </w:tcMar>
          </w:tcPr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PROJE: YENİ WEB SİTESİ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## Karar: Ton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İletişim sakin, kesin ve kişisel hissettirmeli.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**Gerekçe:** [[Müşteri görüşmesi]]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**Sonuç:** [[Ana sayfa taslağı]]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## Kaynak: Müşteri görüşmesi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Açık hizmetler, az jargon ve hızlı giriş önemli.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**Devam:** [[Karar: Ton]]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## Çalışma notu: Ana sayfa taslağı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Üç ana teklifin sırası hâlâ açık.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**Temel:** [[Karar: Ton]]</w:t>
            </w:r>
          </w:p>
        </w:tc>
      </w:tr>
    </w:tbl>
    <w:p>
      <w:pPr>
        <w:spacing w:before="24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İkinci beyin ikinci benlik değildir. Hafıza ile karar arasında güvenilir bir yerdir. Ne kadar açık büyürse kendine, ekibine ya da bir modele en baştan açıklamak zorunda kaldığın şey o kadar azalır.</w:t>
      </w:r>
    </w:p>
    <w:p>
      <w:r>
        <w:br w:type="page"/>
      </w:r>
    </w:p>
    <w:p>
      <w:pPr>
        <w:spacing w:after="140"/>
      </w:pPr>
      <w:r>
        <w:rPr>
          <w:rFonts w:ascii="Fraunces" w:hAnsi="Fraunces" w:eastAsia="Fraunces"/>
          <w:b/>
          <w:i w:val="0"/>
          <w:color w:val="1A2334"/>
          <w:sz w:val="50"/>
        </w:rPr>
        <w:t>Çalışma kâğıdı: İlk küçük bilgi alanını kur</w:t>
      </w:r>
    </w:p>
    <w:p>
      <w:pPr>
        <w:spacing w:before="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Güncel bir proje seç. Üç kısa Markdown notu oluştur ve birbirine bağla.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1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1. Bir kaynağı kaydet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Ne öğrendiğini yaz. Nota açık bir başlık ver.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2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2. Bir kararı formüle et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Kaynağın proje için ne anlama geldiğini ve nedenini kaydet.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3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3. Çalışma notu oluştur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Sonraki somut adımı yaz ve karara bağlantı ver.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4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4. Yolu dene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Her notu aç. İki tıklamada kararın nereden geldiği ve sonra ne olacağı görünüyor mu?</w:t>
            </w:r>
          </w:p>
        </w:tc>
      </w:tr>
    </w:tbl>
    <w:p>
      <w:pPr>
        <w:spacing w:after="40"/>
      </w:pPr>
    </w:p>
    <w:p>
      <w:pPr>
        <w:spacing w:before="200" w:after="140"/>
      </w:pPr>
      <w:r>
        <w:rPr>
          <w:rFonts w:ascii="Fraunces" w:hAnsi="Fraunces" w:eastAsia="Fraunces"/>
          <w:b/>
          <w:i w:val="0"/>
          <w:color w:val="1A2334"/>
          <w:sz w:val="28"/>
        </w:rPr>
        <w:t>Reflexion / Reflection / Yansıtma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70" w:type="dxa"/>
              <w:start w:w="190" w:type="dxa"/>
              <w:bottom w:w="170" w:type="dxa"/>
              <w:end w:w="190" w:type="dxa"/>
            </w:tcMar>
          </w:tcPr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Bugün projem için en çok netlik sağlayan bağlantı: _________________________________________________________</w:t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Sonraki oluşturacağım not: _____________________________________________________________________________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37" w:right="1181" w:bottom="1008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BM Plex Mono" w:hAnsi="IBM Plex Mono" w:eastAsia="IBM Plex Mono"/>
        <w:b w:val="0"/>
        <w:i w:val="0"/>
        <w:color w:val="637087"/>
        <w:sz w:val="16"/>
      </w:rPr>
      <w:t>FURKAN SAKIZLI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erif 4" w:hAnsi="Source Serif 4" w:eastAsia="Source Serif 4"/>
      <w:color w:val="1A233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