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Regülasyon sandbox’ı bir onay mührü değildir</w:t>
      </w:r>
    </w:p>
    <w:p>
      <w:pPr>
        <w:spacing w:after="160" w:line="283" w:lineRule="auto"/>
      </w:pPr>
      <w:r>
        <w:rPr>
          <w:rFonts w:ascii="Aptos" w:hAnsi="Aptos"/>
          <w:b w:val="0"/>
          <w:i w:val="0"/>
          <w:color w:val="637087"/>
          <w:sz w:val="25"/>
        </w:rPr>
        <w:t>Kontrollü denemenin compliance öğrenmesini hızlandırırken conformity assessment, sorumluluk ve market access'in yerini neden tutmadığı.</w:t>
      </w:r>
    </w:p>
    <w:p>
      <w:pPr>
        <w:spacing w:after="280" w:line="283" w:lineRule="auto"/>
      </w:pPr>
      <w:r>
        <w:rPr>
          <w:rFonts w:ascii="Aptos" w:hAnsi="Aptos"/>
          <w:b/>
          <w:i w:val="0"/>
          <w:color w:val="4F7CFF"/>
          <w:sz w:val="17"/>
        </w:rPr>
        <w:t>DENEME · AI DATA ENGINEERING · 15 DK OKUMA  ·  Furkan Sakızlı</w:t>
      </w:r>
    </w:p>
    <w:p>
      <w:pPr>
        <w:spacing w:after="280"/>
        <w:jc w:val="center"/>
      </w:pPr>
      <w:r>
        <w:drawing>
          <wp:inline xmlns:a="http://schemas.openxmlformats.org/drawingml/2006/main" xmlns:pic="http://schemas.openxmlformats.org/drawingml/2006/picture">
            <wp:extent cx="6126480" cy="3447977"/>
            <wp:docPr id="1" name="Picture 1" title="Regülasyon sandbox’ı bir onay mührü değildir" descr="Aydınlık cam AI regulatory sandbox içinde ölçüm noktaları, test yolları ve belgeli çıkışı olan modüler system bulunuyor; altın approval seal bilinçli biçimde dışarıda ayrı duruyor."/>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Sandbox denetimli learning environment'tır. Onu certification machine sanmak, discovery süreciyle conformity assessment sonucunu karıştırır.</w:t>
            </w:r>
          </w:p>
        </w:tc>
      </w:tr>
    </w:tbl>
    <w:p>
      <w:pPr>
        <w:spacing w:after="140" w:line="283" w:lineRule="auto"/>
      </w:pPr>
      <w:r>
        <w:rPr>
          <w:rFonts w:ascii="Aptos" w:hAnsi="Aptos"/>
          <w:b w:val="0"/>
          <w:i w:val="0"/>
          <w:color w:val="1A2334"/>
          <w:sz w:val="21"/>
        </w:rPr>
        <w:t>Regulatory sandbox güçlü bir imge yaratır: AI system korumalı alanda test edilir, authority green light verir ve product artık trustworthy, lawful, market-ready sayılır. Bu kısa yol tehlikelidir.</w:t>
      </w:r>
    </w:p>
    <w:p>
      <w:pPr>
        <w:spacing w:after="140" w:line="283" w:lineRule="auto"/>
      </w:pPr>
      <w:r>
        <w:rPr>
          <w:rFonts w:ascii="Aptos" w:hAnsi="Aptos"/>
          <w:b w:val="0"/>
          <w:i w:val="0"/>
          <w:color w:val="1A2334"/>
          <w:sz w:val="21"/>
        </w:rPr>
        <w:t>AI regulatory sandbox; provider veya prospective provider'ın competent authority ile innovative system'ı sınırlı süre içinde develop, train, test ve validate ettiği controlled environment'tır. Legal uncertainty azaltır, risk'i görünür yapar, regulatory learning ve compliance'ı kolaylaştırır. Applicable law, conformity assessment, market surveillance veya provider accountability'nin yerini tutmaz.</w:t>
      </w:r>
    </w:p>
    <w:p>
      <w:pPr>
        <w:keepNext/>
        <w:spacing w:before="320" w:after="120"/>
      </w:pPr>
      <w:r>
        <w:rPr>
          <w:rFonts w:ascii="Georgia" w:hAnsi="Georgia"/>
          <w:b/>
          <w:i w:val="0"/>
          <w:color w:val="1A2334"/>
          <w:sz w:val="32"/>
        </w:rPr>
        <w:t>Zorunluluk Member State'e aittir</w:t>
      </w:r>
    </w:p>
    <w:p>
      <w:pPr>
        <w:spacing w:after="140" w:line="283" w:lineRule="auto"/>
      </w:pPr>
      <w:r>
        <w:rPr>
          <w:rFonts w:ascii="Aptos" w:hAnsi="Aptos"/>
          <w:b w:val="0"/>
          <w:i w:val="0"/>
          <w:color w:val="1A2334"/>
          <w:sz w:val="21"/>
        </w:rPr>
        <w:t>Madde 57, her Member State'in 2 Ağustos 2026'ya kadar en az bir national AI regulatory sandbox işletmesini ister. Bu bazen her higher-risk system için participation zorunluluğu gibi anlatılır. Oysa hukuk public infrastructure ve procedure kurulmasını ister; universal mandatory participation yaratmaz.</w:t>
      </w:r>
    </w:p>
    <w:p>
      <w:pPr>
        <w:spacing w:after="140" w:line="283" w:lineRule="auto"/>
      </w:pPr>
      <w:r>
        <w:rPr>
          <w:rFonts w:ascii="Aptos" w:hAnsi="Aptos"/>
          <w:b w:val="0"/>
          <w:i w:val="0"/>
          <w:color w:val="1A2334"/>
          <w:sz w:val="21"/>
        </w:rPr>
        <w:t>Novel system açık soru taşıyorsa, birden çok supervision alanına giriyorsa veya defensible evidence eksikse participation stratejik olabilir. Doğru soru “Girmek zorunda mıyız?” değil, “Hangi belirsiz requirement supervised testing ile daha iyi yanıtlanır?”dır.</w:t>
      </w:r>
    </w:p>
    <w:p>
      <w:pPr>
        <w:keepNext/>
        <w:spacing w:before="320" w:after="120"/>
      </w:pPr>
      <w:r>
        <w:rPr>
          <w:rFonts w:ascii="Georgia" w:hAnsi="Georgia"/>
          <w:b/>
          <w:i w:val="0"/>
          <w:color w:val="1A2334"/>
          <w:sz w:val="32"/>
        </w:rPr>
        <w:t>Sandbox ortak investigation'dır</w:t>
      </w:r>
    </w:p>
    <w:p>
      <w:pPr>
        <w:spacing w:after="140" w:line="283" w:lineRule="auto"/>
      </w:pPr>
      <w:r>
        <w:rPr>
          <w:rFonts w:ascii="Aptos" w:hAnsi="Aptos"/>
          <w:b w:val="0"/>
          <w:i w:val="0"/>
          <w:color w:val="1A2334"/>
          <w:sz w:val="21"/>
        </w:rPr>
        <w:t>Çalışma authority ile kararlaştırılmış specific plan'a dayanır. Time, scope, system version, objective, test, data, responsibility ve stop condition sınırlanır. Authority fundamental right, health, safety, mitigation ve requirement konusunda guidance, supervision ve support sağlar.</w:t>
      </w:r>
    </w:p>
    <w:p>
      <w:pPr>
        <w:spacing w:after="140" w:line="283" w:lineRule="auto"/>
      </w:pPr>
      <w:r>
        <w:rPr>
          <w:rFonts w:ascii="Aptos" w:hAnsi="Aptos"/>
          <w:b w:val="0"/>
          <w:i w:val="0"/>
          <w:color w:val="1A2334"/>
          <w:sz w:val="21"/>
        </w:rPr>
        <w:t>Bu outsourced product development değildir. Architecture, documentation, testing ve decision provider'da kalır. Authority implementation team değil regulatory orientation sağlar. İyi sandbox product learning, risk learning ve regulatory learning'i ayırır.</w:t>
      </w:r>
    </w:p>
    <w:p>
      <w:pPr>
        <w:keepNext/>
        <w:spacing w:before="320" w:after="120"/>
      </w:pPr>
      <w:r>
        <w:rPr>
          <w:rFonts w:ascii="Georgia" w:hAnsi="Georgia"/>
          <w:b/>
          <w:i w:val="0"/>
          <w:color w:val="1A2334"/>
          <w:sz w:val="32"/>
        </w:rPr>
        <w:t>Girişten önce maturity zaman kazandırır</w:t>
      </w:r>
    </w:p>
    <w:p>
      <w:pPr>
        <w:spacing w:after="140" w:line="283" w:lineRule="auto"/>
      </w:pPr>
      <w:r>
        <w:rPr>
          <w:rFonts w:ascii="Aptos" w:hAnsi="Aptos"/>
          <w:b w:val="0"/>
          <w:i w:val="0"/>
          <w:color w:val="1A2334"/>
          <w:sz w:val="21"/>
        </w:rPr>
        <w:t>Purpose, owner, data map veya stable version olmayan project, supervised süreyi basic discovery ile tüketir. Almanya pilotu bu yüzden structured maturity model'in önemini vurgular. Product tamamlanmış olmak zorunda değildir; starting point testable olmalıdır.</w:t>
      </w:r>
    </w:p>
    <w:p>
      <w:pPr>
        <w:spacing w:after="140" w:line="283" w:lineRule="auto"/>
      </w:pPr>
      <w:r>
        <w:rPr>
          <w:rFonts w:ascii="Aptos" w:hAnsi="Aptos"/>
          <w:b w:val="0"/>
          <w:i w:val="0"/>
          <w:color w:val="1A2334"/>
          <w:sz w:val="21"/>
        </w:rPr>
        <w:t>Güçlü application; problem, innovation, intended market, provider/deployer role, system boundary, data flow, preliminary classification, open legal question, existing test ve precise learning objective içerir. “Ürünümüzü kontrol edin” test plan değildir.</w:t>
      </w:r>
    </w:p>
    <w:p>
      <w:pPr>
        <w:spacing w:after="140" w:line="283" w:lineRule="auto"/>
      </w:pPr>
      <w:r>
        <w:rPr>
          <w:rFonts w:ascii="Aptos" w:hAnsi="Aptos"/>
          <w:b w:val="0"/>
          <w:i w:val="0"/>
          <w:color w:val="1A2334"/>
          <w:sz w:val="21"/>
        </w:rPr>
        <w:t>İyi soru gözlenebilir: Human oversight sonucu gerçekten durdurabiliyor mu? Performance ilgili gruplarda limit içinde mi? Hangi record reversal'ı kanıtlıyor? AI Act, data protection ve sector law bu workflow'da nasıl kesişiyor?</w:t>
      </w:r>
    </w:p>
    <w:p>
      <w:pPr>
        <w:keepNext/>
        <w:spacing w:before="320" w:after="120"/>
      </w:pPr>
      <w:r>
        <w:rPr>
          <w:rFonts w:ascii="Georgia" w:hAnsi="Georgia"/>
          <w:b/>
          <w:i w:val="0"/>
          <w:color w:val="1A2334"/>
          <w:sz w:val="32"/>
        </w:rPr>
        <w:t>Exit report değerlidir ama badge değildir</w:t>
      </w:r>
    </w:p>
    <w:p>
      <w:pPr>
        <w:spacing w:after="140" w:line="283" w:lineRule="auto"/>
      </w:pPr>
      <w:r>
        <w:rPr>
          <w:rFonts w:ascii="Aptos" w:hAnsi="Aptos"/>
          <w:b w:val="0"/>
          <w:i w:val="0"/>
          <w:color w:val="1A2334"/>
          <w:sz w:val="21"/>
        </w:rPr>
        <w:t>Activity, result ve lesson exit report'ta kaydedilir; tamamlanan çalışmalar için written proof eklenebilir. Bu artifact technical documentation'ı iyileştirir ve sonraki conformity assessment'ı hızlandırabilir.</w:t>
      </w:r>
    </w:p>
    <w:p>
      <w:pPr>
        <w:spacing w:after="140" w:line="283" w:lineRule="auto"/>
      </w:pPr>
      <w:r>
        <w:rPr>
          <w:rFonts w:ascii="Aptos" w:hAnsi="Aptos"/>
          <w:b w:val="0"/>
          <w:i w:val="0"/>
          <w:color w:val="1A2334"/>
          <w:sz w:val="21"/>
        </w:rPr>
        <w:t>Ancak universal seal değildir. Evidence test edilen scope, version, data ve assumption için geçerlidir. Model change, yeni autonomy, farklı market veya population relevance'ı azaltabilir. Successful participation her deployment'ın compliant olduğunu kanıtlamaz.</w:t>
      </w:r>
    </w:p>
    <w:p>
      <w:pPr>
        <w:spacing w:after="140" w:line="283" w:lineRule="auto"/>
      </w:pPr>
      <w:r>
        <w:rPr>
          <w:rFonts w:ascii="Aptos" w:hAnsi="Aptos"/>
          <w:b w:val="0"/>
          <w:i w:val="0"/>
          <w:color w:val="1A2334"/>
          <w:sz w:val="21"/>
        </w:rPr>
        <w:t>Doğru ifade: “System agreed scope içinde supervised test edildi; şu activity ve outcome belgelendi.” Ayrı certification yoksa “Authority sistemi sertifikalandırdı” denmez.</w:t>
      </w:r>
    </w:p>
    <w:p>
      <w:pPr>
        <w:keepNext/>
        <w:spacing w:before="320" w:after="120"/>
      </w:pPr>
      <w:r>
        <w:rPr>
          <w:rFonts w:ascii="Georgia" w:hAnsi="Georgia"/>
          <w:b/>
          <w:i w:val="0"/>
          <w:color w:val="1A2334"/>
          <w:sz w:val="32"/>
        </w:rPr>
        <w:t>Supervision ve liability kaybolmaz</w:t>
      </w:r>
    </w:p>
    <w:p>
      <w:pPr>
        <w:spacing w:after="140" w:line="283" w:lineRule="auto"/>
      </w:pPr>
      <w:r>
        <w:rPr>
          <w:rFonts w:ascii="Aptos" w:hAnsi="Aptos"/>
          <w:b w:val="0"/>
          <w:i w:val="0"/>
          <w:color w:val="1A2334"/>
          <w:sz w:val="21"/>
        </w:rPr>
        <w:t>Madde 57 authority'nin supervisory ve corrective power'ını korur. Significant risk için adequate mitigation gerekir; çözüm olmazsa test durdurulabilir. Controlled environment legal vacuum değildir.</w:t>
      </w:r>
    </w:p>
    <w:p>
      <w:pPr>
        <w:spacing w:after="140" w:line="283" w:lineRule="auto"/>
      </w:pPr>
      <w:r>
        <w:rPr>
          <w:rFonts w:ascii="Aptos" w:hAnsi="Aptos"/>
          <w:b w:val="0"/>
          <w:i w:val="0"/>
          <w:color w:val="1A2334"/>
          <w:sz w:val="21"/>
        </w:rPr>
        <w:t>Personal data, medical device, finance, employment, product safety ve cybersecurity başka authority ve requirement doğurabilir. Authority cooperation administrative ayrıntı değil system design parçasıdır.</w:t>
      </w:r>
    </w:p>
    <w:p>
      <w:pPr>
        <w:keepNext/>
        <w:spacing w:before="320" w:after="120"/>
      </w:pPr>
      <w:r>
        <w:rPr>
          <w:rFonts w:ascii="Georgia" w:hAnsi="Georgia"/>
          <w:b/>
          <w:i w:val="0"/>
          <w:color w:val="1A2334"/>
          <w:sz w:val="32"/>
        </w:rPr>
        <w:t>Data protection otomatik gevşemez</w:t>
      </w:r>
    </w:p>
    <w:p>
      <w:pPr>
        <w:spacing w:after="140" w:line="283" w:lineRule="auto"/>
      </w:pPr>
      <w:r>
        <w:rPr>
          <w:rFonts w:ascii="Aptos" w:hAnsi="Aptos"/>
          <w:b w:val="0"/>
          <w:i w:val="0"/>
          <w:color w:val="1A2334"/>
          <w:sz w:val="21"/>
        </w:rPr>
        <w:t>Madde 59, lawfully collected belirli personal data'nın further processing'ine yalnız seçilmiş substantial public interest system'ları için dar ve cumulative şartlarla izin verir. Bu genel GDPR exemption değildir.</w:t>
      </w:r>
    </w:p>
    <w:p>
      <w:pPr>
        <w:spacing w:after="140" w:line="283" w:lineRule="auto"/>
      </w:pPr>
      <w:r>
        <w:rPr>
          <w:rFonts w:ascii="Aptos" w:hAnsi="Aptos"/>
          <w:b w:val="0"/>
          <w:i w:val="0"/>
          <w:color w:val="1A2334"/>
          <w:sz w:val="21"/>
        </w:rPr>
        <w:t>Necessity, functionally separate protected environment, authorised access, risk monitoring, deletion, log ve detailed documentation gerekir. Processing data subject'ı etkileyen measure veya decision'a dönüşemez. Anonymised, synthetic ya da non-personal data yeterliyse özel yol kullanılamaz.</w:t>
      </w:r>
    </w:p>
    <w:p>
      <w:pPr>
        <w:keepNext/>
        <w:spacing w:before="320" w:after="120"/>
      </w:pPr>
      <w:r>
        <w:rPr>
          <w:rFonts w:ascii="Georgia" w:hAnsi="Georgia"/>
          <w:b/>
          <w:i w:val="0"/>
          <w:color w:val="1A2334"/>
          <w:sz w:val="32"/>
        </w:rPr>
        <w:t>Sandbox ile real-world testing aynı değildir</w:t>
      </w:r>
    </w:p>
    <w:p>
      <w:pPr>
        <w:spacing w:after="140" w:line="283" w:lineRule="auto"/>
      </w:pPr>
      <w:r>
        <w:rPr>
          <w:rFonts w:ascii="Aptos" w:hAnsi="Aptos"/>
          <w:b w:val="0"/>
          <w:i w:val="0"/>
          <w:color w:val="1A2334"/>
          <w:sz w:val="21"/>
        </w:rPr>
        <w:t>Sandbox supervised real-world testing içerebilir. AI Act, sandbox dışındaki belirli high-risk real-world test'i ayrıca düzenler. Plan, authority involvement, time limit, vulnerable person safeguard, qualified oversight, gerektiğinde consent ve decision'ı reverse veya disregard etme şartları bulunur.</w:t>
      </w:r>
    </w:p>
    <w:p>
      <w:pPr>
        <w:spacing w:after="140" w:line="283" w:lineRule="auto"/>
      </w:pPr>
      <w:r>
        <w:rPr>
          <w:rFonts w:ascii="Aptos" w:hAnsi="Aptos"/>
          <w:b w:val="0"/>
          <w:i w:val="0"/>
          <w:color w:val="1A2334"/>
          <w:sz w:val="21"/>
        </w:rPr>
        <w:t>Isolated digital test ile real person exposure aynı risk değildir. Her case synthetic, simulated, shadow-mode veya real-world olarak işaretlenmeli ve safeguard tanımlanmalıdır.</w:t>
      </w:r>
    </w:p>
    <w:p>
      <w:pPr>
        <w:keepNext/>
        <w:spacing w:before="320" w:after="120"/>
      </w:pPr>
      <w:r>
        <w:rPr>
          <w:rFonts w:ascii="Georgia" w:hAnsi="Georgia"/>
          <w:b/>
          <w:i w:val="0"/>
          <w:color w:val="1A2334"/>
          <w:sz w:val="32"/>
        </w:rPr>
        <w:t>Access adil olmalı, kapasite sınırlıdır</w:t>
      </w:r>
    </w:p>
    <w:p>
      <w:pPr>
        <w:spacing w:after="140" w:line="283" w:lineRule="auto"/>
      </w:pPr>
      <w:r>
        <w:rPr>
          <w:rFonts w:ascii="Aptos" w:hAnsi="Aptos"/>
          <w:b w:val="0"/>
          <w:i w:val="0"/>
          <w:color w:val="1A2334"/>
          <w:sz w:val="21"/>
        </w:rPr>
        <w:t>Madde 58 transparent ve fair criteria, broad/equal access ve genellikle üç ay içinde decision öngörür. SME ve start-up için access ücretsiz olmalıdır; exceptional cost fair ve proportionate biçimde alınabilir.</w:t>
      </w:r>
    </w:p>
    <w:p>
      <w:pPr>
        <w:spacing w:after="140" w:line="283" w:lineRule="auto"/>
      </w:pPr>
      <w:r>
        <w:rPr>
          <w:rFonts w:ascii="Aptos" w:hAnsi="Aptos"/>
          <w:b w:val="0"/>
          <w:i w:val="0"/>
          <w:color w:val="1A2334"/>
          <w:sz w:val="21"/>
        </w:rPr>
        <w:t>Bu automatic admission değildir. İyi application innovation, regulatory learning question, suitable maturity ve feasible plan gösterir. Normal advice, internal test veya mevcut guidance'ın neden yetmediğini açıklar.</w:t>
      </w:r>
    </w:p>
    <w:p>
      <w:pPr>
        <w:keepNext/>
        <w:spacing w:before="320" w:after="120"/>
      </w:pPr>
      <w:r>
        <w:rPr>
          <w:rFonts w:ascii="Georgia" w:hAnsi="Georgia"/>
          <w:b/>
          <w:i w:val="0"/>
          <w:color w:val="1A2334"/>
          <w:sz w:val="32"/>
        </w:rPr>
        <w:t>Transfer edilebilir evidence package oluştur</w:t>
      </w:r>
    </w:p>
    <w:p>
      <w:pPr>
        <w:spacing w:after="140" w:line="283" w:lineRule="auto"/>
      </w:pPr>
      <w:r>
        <w:rPr>
          <w:rFonts w:ascii="Aptos" w:hAnsi="Aptos"/>
          <w:b w:val="0"/>
          <w:i w:val="0"/>
          <w:color w:val="1A2334"/>
          <w:sz w:val="21"/>
        </w:rPr>
        <w:t>Değer attendance değil reusable evidence'dır. Paket; system/data map, version, plan change, requirement, test case, metric, residual uncertainty, incident, stop, human oversight decision, open question, exit report ve conformity/operations handover'ını bağlar.</w:t>
      </w:r>
    </w:p>
    <w:p>
      <w:pPr>
        <w:spacing w:after="140" w:line="283" w:lineRule="auto"/>
      </w:pPr>
      <w:r>
        <w:rPr>
          <w:rFonts w:ascii="Aptos" w:hAnsi="Aptos"/>
          <w:b w:val="0"/>
          <w:i w:val="0"/>
          <w:color w:val="1A2334"/>
          <w:sz w:val="21"/>
        </w:rPr>
        <w:t>Bu transfer yoksa sandbox, lesson'ı sonraki release'te kaybolan ilginç demo olarak kalır.</w:t>
      </w:r>
    </w:p>
    <w:p>
      <w:pPr>
        <w:keepNext/>
        <w:spacing w:before="320" w:after="120"/>
      </w:pPr>
      <w:r>
        <w:rPr>
          <w:rFonts w:ascii="Georgia" w:hAnsi="Georgia"/>
          <w:b/>
          <w:i w:val="0"/>
          <w:color w:val="1A2334"/>
          <w:sz w:val="32"/>
        </w:rPr>
        <w:t>Doğru çıkış gerekçeli next step'tir</w:t>
      </w:r>
    </w:p>
    <w:p>
      <w:pPr>
        <w:spacing w:after="140" w:line="283" w:lineRule="auto"/>
      </w:pPr>
      <w:r>
        <w:rPr>
          <w:rFonts w:ascii="Aptos" w:hAnsi="Aptos"/>
          <w:b w:val="0"/>
          <w:i w:val="0"/>
          <w:color w:val="1A2334"/>
          <w:sz w:val="21"/>
        </w:rPr>
        <w:t>Sandbox pass/fail ile bitmek zorunda değildir. Sonuç; sufficient evidence, additional test, reduced scope, new control, başka legal regime, real-world testing ertelemesi veya termination olabilir.</w:t>
      </w:r>
    </w:p>
    <w:p>
      <w:pPr>
        <w:spacing w:after="140" w:line="283" w:lineRule="auto"/>
      </w:pPr>
      <w:r>
        <w:rPr>
          <w:rFonts w:ascii="Aptos" w:hAnsi="Aptos"/>
          <w:b w:val="0"/>
          <w:i w:val="0"/>
          <w:color w:val="1A2334"/>
          <w:sz w:val="21"/>
        </w:rPr>
        <w:t>Early stop zarar ve israfı önlüyorsa başarıdır. Regulatory learning positive label değil defensible decision ürettiğinde değerlidir.</w:t>
      </w:r>
    </w:p>
    <w:p>
      <w:pPr>
        <w:keepNext/>
        <w:spacing w:before="320" w:after="120"/>
      </w:pPr>
      <w:r>
        <w:rPr>
          <w:rFonts w:ascii="Georgia" w:hAnsi="Georgia"/>
          <w:b/>
          <w:i w:val="0"/>
          <w:color w:val="1A2334"/>
          <w:sz w:val="32"/>
        </w:rPr>
        <w:t>Her problem sandbox'a ait değildir</w:t>
      </w:r>
    </w:p>
    <w:p>
      <w:pPr>
        <w:spacing w:after="140" w:line="283" w:lineRule="auto"/>
      </w:pPr>
      <w:r>
        <w:rPr>
          <w:rFonts w:ascii="Aptos" w:hAnsi="Aptos"/>
          <w:b w:val="0"/>
          <w:i w:val="0"/>
          <w:color w:val="1A2334"/>
          <w:sz w:val="21"/>
        </w:rPr>
        <w:t>Application öncesi alternative karşılaştırılır. Açık requirement çoğu zaman legal/domain advice, standard, internal evaluation veya conformity body ile daha verimli çözülür. Technical performance önce reproducible test'e girmelidir. Sandbox, innovation ile regulatory uncertainty gerçekten bağlıysa ve authority de reusable learning üretebiliyorsa en değerlidir.</w:t>
      </w:r>
    </w:p>
    <w:p>
      <w:pPr>
        <w:spacing w:after="140" w:line="283" w:lineRule="auto"/>
      </w:pPr>
      <w:r>
        <w:rPr>
          <w:rFonts w:ascii="Aptos" w:hAnsi="Aptos"/>
          <w:b w:val="0"/>
          <w:i w:val="0"/>
          <w:color w:val="1A2334"/>
          <w:sz w:val="21"/>
        </w:rPr>
        <w:t>Portfolio gate; novelty, unresolved question, impact, maturity, supervision ihtiyacı, data risk ve knowledge transfer'ı puanlar. Owner veya delivery capacity olmayan project önce internal preparation'a döner. Sınırlı kapasite marketing'i en güçlü fikre değil ortak learning value'su yüksek case'e gider.</w:t>
      </w:r>
    </w:p>
    <w:p>
      <w:pPr>
        <w:keepNext/>
        <w:spacing w:before="320" w:after="120"/>
      </w:pPr>
      <w:r>
        <w:rPr>
          <w:rFonts w:ascii="Georgia" w:hAnsi="Georgia"/>
          <w:b/>
          <w:i w:val="0"/>
          <w:color w:val="1A2334"/>
          <w:sz w:val="32"/>
        </w:rPr>
        <w:t>Change evidence scope'u güncellemelidir</w:t>
      </w:r>
    </w:p>
    <w:p>
      <w:pPr>
        <w:spacing w:after="140" w:line="283" w:lineRule="auto"/>
      </w:pPr>
      <w:r>
        <w:rPr>
          <w:rFonts w:ascii="Aptos" w:hAnsi="Aptos"/>
          <w:b w:val="0"/>
          <w:i w:val="0"/>
          <w:color w:val="1A2334"/>
          <w:sz w:val="21"/>
        </w:rPr>
        <w:t>System deneme sırasında değişir. Her material change identifier, rationale ve impact assessment alır. Yeni model, source, tool permission, population, autonomy veya decision threshold eski sonucu geçersiz kılabilir. Plan, agreed scope içindeki change ile authority ile yeniden coordination gerektireni ayırır.</w:t>
      </w:r>
    </w:p>
    <w:p>
      <w:pPr>
        <w:spacing w:after="140" w:line="283" w:lineRule="auto"/>
      </w:pPr>
      <w:r>
        <w:rPr>
          <w:rFonts w:ascii="Aptos" w:hAnsi="Aptos"/>
          <w:b w:val="0"/>
          <w:i w:val="0"/>
          <w:color w:val="1A2334"/>
          <w:sz w:val="21"/>
        </w:rPr>
        <w:t>Bu discipline exit sonrasında sürer. Release register sandbox evidence'ı gerçekten shipped version'a bağlar. Yalnız valid evidence conformity documentation'a girer. Historical result korunur ama current assurance gibi sunulmaz.</w:t>
      </w:r>
    </w:p>
    <w:p>
      <w:pPr>
        <w:keepNext/>
        <w:spacing w:before="320" w:after="120"/>
      </w:pPr>
      <w:r>
        <w:rPr>
          <w:rFonts w:ascii="Georgia" w:hAnsi="Georgia"/>
          <w:b/>
          <w:i w:val="0"/>
          <w:color w:val="1A2334"/>
          <w:sz w:val="32"/>
        </w:rPr>
        <w:t>Danışmanlık learning capacity hazırlar</w:t>
      </w:r>
    </w:p>
    <w:p>
      <w:pPr>
        <w:spacing w:after="140" w:line="283" w:lineRule="auto"/>
      </w:pPr>
      <w:r>
        <w:rPr>
          <w:rFonts w:ascii="Aptos" w:hAnsi="Aptos"/>
          <w:b w:val="0"/>
          <w:i w:val="0"/>
          <w:color w:val="1A2334"/>
          <w:sz w:val="21"/>
        </w:rPr>
        <w:t>Responsible adviser authority badge vaat etmez. System/data flow'u haritalar, unresolved question'ı netleştirir, ilgili discipline'ı bulur, evidence gap'i gösterir ve realistic plan hazırlar. Binding legal interpretation ve official decision sorumlu uzman ve authority'de kalır.</w:t>
      </w:r>
    </w:p>
    <w:p>
      <w:pPr>
        <w:spacing w:after="140" w:line="283" w:lineRule="auto"/>
      </w:pPr>
      <w:r>
        <w:rPr>
          <w:rFonts w:ascii="Aptos" w:hAnsi="Aptos"/>
          <w:b w:val="0"/>
          <w:i w:val="0"/>
          <w:color w:val="1A2334"/>
          <w:sz w:val="21"/>
        </w:rPr>
        <w:t>Readiness testi şudur: Team her olası outcome sonrasında ne yapacağını söyleyebiliyor mu? Yalnız positive result için yol varsa bu marketing exercise'dır. Gerçek sandbox change, restriction ve stop route içerir.</w:t>
      </w:r>
    </w:p>
    <w:p>
      <w:pPr>
        <w:keepNext/>
        <w:spacing w:before="320" w:after="120"/>
      </w:pPr>
      <w:r>
        <w:rPr>
          <w:rFonts w:ascii="Georgia" w:hAnsi="Georgia"/>
          <w:b/>
          <w:i w:val="0"/>
          <w:color w:val="1A2334"/>
          <w:sz w:val="32"/>
        </w:rPr>
        <w:t>Çalışma kâğıdı: Sandbox plan tasarla</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System, innovation, rol ve intended market'i açıkla.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Üç concrete regulatory learning question yaz.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Scope, version, duration ve exit criterion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Test, data, metric ve safeguard eşleştir.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Simulation, shadow mode ve real-world testing'i ayır.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Authority, provider, deployer ve privacy rolünü ata.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Stop, incident ve change process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Conformity ve operation için evidence package planla.</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Hangi açık soru supervised regulatory learning'i gerçekten haklı çıkarıyor? _________________________________</w:t>
      </w:r>
    </w:p>
    <w:p>
      <w:pPr>
        <w:spacing w:after="140" w:line="283" w:lineRule="auto"/>
      </w:pPr>
      <w:r>
        <w:rPr>
          <w:rFonts w:ascii="Aptos" w:hAnsi="Aptos"/>
          <w:b w:val="0"/>
          <w:i w:val="0"/>
          <w:color w:val="1A2334"/>
          <w:sz w:val="21"/>
        </w:rPr>
        <w:t>Başarılı participation sonrası bile hangi claim yapılmamalı? ____________________________________________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57](https://ai-act-service-desk.ec.europa.eu/en/ai-act/article-57) – AI regulatory sandbox kurulması, hedefi, supervision'ı ve etkisi.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58](https://ai-act-service-desk.ec.europa.eu/en/ai-act/article-58) – access, selection, participation, exit ve ücret için ortak kurallar.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59](https://ai-act-service-desk.ec.europa.eu/en/ai-act/article-59) – kamu yararı için belirli personal data'nın further processing'ine ilişkin dar şartlar.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60](https://ai-act-service-desk.ec.europa.eu/en/ai-act/article-60) – sandbox dışındaki high-risk real-world testing şartları.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[Bundesnetzagentur: AI regulatory sandboxes](https://www.bundesnetzagentur.de/EN/Areas/Digitalisation/AI/05_Innovation/start.html) – hedefler, pilotlar ve Almanya uygulama durumu.</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[Bundesnetzagentur: Trilateral pilot tamamlandı](https://www.bundesnetzagentur.de/SharedDocs/Pressemitteilungen/EN/2026/20260317_Ki.html) – maturity, authority cooperation, exit report ve conformity hazırlığı bulguları.</w:t>
      </w:r>
    </w:p>
    <w:p>
      <w:pPr>
        <w:spacing w:after="140" w:line="283" w:lineRule="auto"/>
      </w:pPr>
      <w:r>
        <w:rPr>
          <w:rFonts w:ascii="Aptos" w:hAnsi="Aptos"/>
          <w:b w:val="0"/>
          <w:i w:val="0"/>
          <w:color w:val="1A2334"/>
          <w:sz w:val="21"/>
        </w:rPr>
        <w:t>*Kapsam:* Makale uygulama rehberidir, hukuk danışmanlığı değildir. Hukuki etki system, rol, sektör, uygulanabilir hukuk ve final sandbox procedure'a bağlıdır. Sandbox genel zorunluluk, sertifika veya liability waiver değildir. Editoryal inceleme: 17 Temmuz 2026.</w:t>
      </w:r>
    </w:p>
    <w:p>
      <w:r>
        <w:br w:type="page"/>
      </w:r>
    </w:p>
    <w:p>
      <w:pPr>
        <w:keepNext/>
        <w:spacing w:before="320" w:after="120"/>
      </w:pPr>
      <w:r>
        <w:rPr>
          <w:rFonts w:ascii="Georgia" w:hAnsi="Georgia"/>
          <w:b/>
          <w:i w:val="0"/>
          <w:color w:val="1A2334"/>
          <w:sz w:val="32"/>
        </w:rPr>
        <w:t>Çalışma şablonu: Sandbox plan</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System / innovation / market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Learning question / law</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Scope / version / duration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Test / data / metric</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Safeguard / stop / incident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Rol / authority / handover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Evidence / exit / next step</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Regülasyon sandbox’ı bir onay mührü değildir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