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İyi yapay zekâ danışmanlığı güvenilir sistem analiziyle başlar</w:t>
      </w:r>
    </w:p>
    <w:p>
      <w:pPr>
        <w:spacing w:after="160" w:line="283" w:lineRule="auto"/>
      </w:pPr>
      <w:r>
        <w:rPr>
          <w:rFonts w:ascii="Aptos" w:hAnsi="Aptos"/>
          <w:b w:val="0"/>
          <w:i w:val="0"/>
          <w:color w:val="637087"/>
          <w:sz w:val="25"/>
        </w:rPr>
        <w:t>Görüşme, veri akışı, teknik doğrulama ve organizasyon bilgisinin kanıta dayalı karar ve uygulama paketine nasıl dönüştüğü.</w:t>
      </w:r>
    </w:p>
    <w:p>
      <w:pPr>
        <w:spacing w:after="280" w:line="283" w:lineRule="auto"/>
      </w:pPr>
      <w:r>
        <w:rPr>
          <w:rFonts w:ascii="Aptos" w:hAnsi="Aptos"/>
          <w:b/>
          <w:i w:val="0"/>
          <w:color w:val="4F7CFF"/>
          <w:sz w:val="17"/>
        </w:rPr>
        <w:t>DENEME · AI DATA ENGINEERING · 16 DK OKUMA  ·  Furkan Sakızlı</w:t>
      </w:r>
    </w:p>
    <w:p>
      <w:pPr>
        <w:spacing w:after="280"/>
        <w:jc w:val="center"/>
      </w:pPr>
      <w:r>
        <w:drawing>
          <wp:inline xmlns:a="http://schemas.openxmlformats.org/drawingml/2006/main" xmlns:pic="http://schemas.openxmlformats.org/drawingml/2006/picture">
            <wp:extent cx="6126480" cy="3447977"/>
            <wp:docPr id="1" name="Picture 1" title="İyi yapay zekâ danışmanlığı güvenilir sistem analiziyle başlar" descr="Aydınlık danışmanlık masasında soldaki dağınık görüşme notları şeffaf çok katmanlı sistem, veri ve governance haritasına dönüşüyor; sağda birkaç amber gap işareti içeren kanıta dayalı karar paketi çıkıyor."/>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Çözümü çok erken sunan danışman çoğu zaman varsayılan bir kuruma danışmanlık yapar. Güvenilir analiz önce iş, veri, sistem, karar ve sorumluluğun gerçekte nasıl bağlandığını gösterir.</w:t>
            </w:r>
          </w:p>
        </w:tc>
      </w:tr>
    </w:tbl>
    <w:p>
      <w:pPr>
        <w:spacing w:after="140" w:line="283" w:lineRule="auto"/>
      </w:pPr>
      <w:r>
        <w:rPr>
          <w:rFonts w:ascii="Aptos" w:hAnsi="Aptos"/>
          <w:b w:val="0"/>
          <w:i w:val="0"/>
          <w:color w:val="1A2334"/>
          <w:sz w:val="21"/>
        </w:rPr>
        <w:t>İlk yapay zekâ görüşmesi hızla istek listesi üretir: bilgi asistanı, otomatik destek, belge analizi, agent team, tahmin ve içerik üretimi. Bir saat sonra roadmap mümkün görünür. Fakat liste fırsatı anlatır, güvenilir sistemi değil. Süreç varyantı, veri kalitesi, gayriresmî onay, legacy software, çalışan katılımı, güvenlik sınırı ve gerçek karar yetkisi görünmez kalır.</w:t>
      </w:r>
    </w:p>
    <w:p>
      <w:pPr>
        <w:spacing w:after="140" w:line="283" w:lineRule="auto"/>
      </w:pPr>
      <w:r>
        <w:rPr>
          <w:rFonts w:ascii="Aptos" w:hAnsi="Aptos"/>
          <w:b w:val="0"/>
          <w:i w:val="0"/>
          <w:color w:val="1A2334"/>
          <w:sz w:val="21"/>
        </w:rPr>
        <w:t>İyi discovery inovasyonu yavaşlatmaz; yanlış yönde hızlanmayı önler. Sonucu transcript arşivi veya renkli maturity slaydı değil, mevcut durumun doğrulanabilir resmi ve hangi use case'in hangi koşulla ilerleyeceğine ilişkin gerekçeli karardır.</w:t>
      </w:r>
    </w:p>
    <w:p>
      <w:pPr>
        <w:keepNext/>
        <w:spacing w:before="320" w:after="120"/>
      </w:pPr>
      <w:r>
        <w:rPr>
          <w:rFonts w:ascii="Georgia" w:hAnsi="Georgia"/>
          <w:b/>
          <w:i w:val="0"/>
          <w:color w:val="1A2334"/>
          <w:sz w:val="32"/>
        </w:rPr>
        <w:t>Danışmanlık cevapla değil hipotezle başlar</w:t>
      </w:r>
    </w:p>
    <w:p>
      <w:pPr>
        <w:spacing w:after="140" w:line="283" w:lineRule="auto"/>
      </w:pPr>
      <w:r>
        <w:rPr>
          <w:rFonts w:ascii="Aptos" w:hAnsi="Aptos"/>
          <w:b w:val="0"/>
          <w:i w:val="0"/>
          <w:color w:val="1A2334"/>
          <w:sz w:val="21"/>
        </w:rPr>
        <w:t>Çalışma başında hipotez kurulabilir: “Geçerli iş talimatını bulmak yeniden çalışmaya yol açıyor” veya “Müşteri talebinden uzman incelemesine geçiş kısmen otomatikleşebilir.” Hipotez geçici olduğu görünür kaldıkça yararlıdır.</w:t>
      </w:r>
    </w:p>
    <w:p>
      <w:pPr>
        <w:spacing w:after="140" w:line="283" w:lineRule="auto"/>
      </w:pPr>
      <w:r>
        <w:rPr>
          <w:rFonts w:ascii="Aptos" w:hAnsi="Aptos"/>
          <w:b w:val="0"/>
          <w:i w:val="0"/>
          <w:color w:val="1A2334"/>
          <w:sz w:val="21"/>
        </w:rPr>
        <w:t>Görüşme, süreç gözlemi, sistem configuration, veri örneği, policy, log, incident ticket ve mevcut kontrolle sınanır. Hiçbir kaynak otomatik olarak üstün değildir. Belgelenen süreç pratikten farklı olabilir; görüşme istisnayı unutabilir; log davranışı gösterir fakat uzmanlık nedenini her zaman açıklamaz.</w:t>
      </w:r>
    </w:p>
    <w:p>
      <w:pPr>
        <w:spacing w:after="140" w:line="283" w:lineRule="auto"/>
      </w:pPr>
      <w:r>
        <w:rPr>
          <w:rFonts w:ascii="Aptos" w:hAnsi="Aptos"/>
          <w:b w:val="0"/>
          <w:i w:val="0"/>
          <w:color w:val="1A2334"/>
          <w:sz w:val="21"/>
        </w:rPr>
        <w:t>Assessment kaydı **iddia, kanıt ve değerlendirmeyi** ayırır. “Herkes output'u kontrol ediyor” ancak rol, zaman, kriter, kaydedilen override ve teknik yetki görünürse savunulabilir. Kanıt yoksa status “uygun” değil “çözülmemiş” olur.</w:t>
      </w:r>
    </w:p>
    <w:p>
      <w:pPr>
        <w:keepNext/>
        <w:spacing w:before="320" w:after="120"/>
      </w:pPr>
      <w:r>
        <w:rPr>
          <w:rFonts w:ascii="Georgia" w:hAnsi="Georgia"/>
          <w:b/>
          <w:i w:val="0"/>
          <w:color w:val="1A2334"/>
          <w:sz w:val="32"/>
        </w:rPr>
        <w:t>Üç harita aynı kurumu anlatır</w:t>
      </w:r>
    </w:p>
    <w:p>
      <w:pPr>
        <w:spacing w:after="140" w:line="283" w:lineRule="auto"/>
      </w:pPr>
      <w:r>
        <w:rPr>
          <w:rFonts w:ascii="Aptos" w:hAnsi="Aptos"/>
          <w:b w:val="0"/>
          <w:i w:val="0"/>
          <w:color w:val="1A2334"/>
          <w:sz w:val="21"/>
        </w:rPr>
        <w:t>Yararlı sistem analizi en az üç bağlı harita oluşturur.</w:t>
      </w:r>
    </w:p>
    <w:p>
      <w:pPr>
        <w:spacing w:after="140" w:line="283" w:lineRule="auto"/>
      </w:pPr>
      <w:r>
        <w:rPr>
          <w:rFonts w:ascii="Aptos" w:hAnsi="Aptos"/>
          <w:b w:val="0"/>
          <w:i w:val="0"/>
          <w:color w:val="1A2334"/>
          <w:sz w:val="21"/>
        </w:rPr>
        <w:t>**İş haritası** trigger, adım, rol, bekleme, istisna ve kararı gösterir: Sonuç bugün nasıl oluşuyor? **Sistem ve veri haritası** application, interface, storage, kaynak, dönüşüm, identity ve flow'u gösterir: Süreci hangi teknik gerçeklik taşıyor? **Governance haritası** owner, onay, policy, risk, control evidence, etkilenen kişi ve escalation'ı gösterir: Kim karar verebilir, kim sorumludur, etki nasıl kontrol edilir?</w:t>
      </w:r>
    </w:p>
    <w:p>
      <w:pPr>
        <w:spacing w:after="140" w:line="283" w:lineRule="auto"/>
      </w:pPr>
      <w:r>
        <w:rPr>
          <w:rFonts w:ascii="Aptos" w:hAnsi="Aptos"/>
          <w:b w:val="0"/>
          <w:i w:val="0"/>
          <w:color w:val="1A2334"/>
          <w:sz w:val="21"/>
        </w:rPr>
        <w:t>Ayrı kaldıklarında eksiktirler. Sistem bağlantısı olmayan süreç adımı shadow IT'yi saklar. İş bağlamı olmayan database hangi kararı etkilediğini açıklamaz. Teknik enforcement olmayan policy yalnız niyet olabilir. Ortak ID; process, system, dataset, use case, risk ve control'ü bağlar.</w:t>
      </w:r>
    </w:p>
    <w:p>
      <w:pPr>
        <w:keepNext/>
        <w:spacing w:before="320" w:after="120"/>
      </w:pPr>
      <w:r>
        <w:rPr>
          <w:rFonts w:ascii="Georgia" w:hAnsi="Georgia"/>
          <w:b/>
          <w:i w:val="0"/>
          <w:color w:val="1A2334"/>
          <w:sz w:val="32"/>
        </w:rPr>
        <w:t>Görüşme bilgi ve kör nokta üretir</w:t>
      </w:r>
    </w:p>
    <w:p>
      <w:pPr>
        <w:spacing w:after="140" w:line="283" w:lineRule="auto"/>
      </w:pPr>
      <w:r>
        <w:rPr>
          <w:rFonts w:ascii="Aptos" w:hAnsi="Aptos"/>
          <w:b w:val="0"/>
          <w:i w:val="0"/>
          <w:color w:val="1A2334"/>
          <w:sz w:val="21"/>
        </w:rPr>
        <w:t>Görüşmeler vazgeçilmezdir fakat nötr değildir. Yönetici hedef süreci, uzman istisnayı, IT resmen desteklenen sistemi anlatır. Çalışan workaround'u normal gördüğü için söylemeyebilir. Danışman da tercih ettiği çözüme uyan bilgiyi daha kolay duyar.</w:t>
      </w:r>
    </w:p>
    <w:p>
      <w:pPr>
        <w:spacing w:after="140" w:line="283" w:lineRule="auto"/>
      </w:pPr>
      <w:r>
        <w:rPr>
          <w:rFonts w:ascii="Aptos" w:hAnsi="Aptos"/>
          <w:b w:val="0"/>
          <w:i w:val="0"/>
          <w:color w:val="1A2334"/>
          <w:sz w:val="21"/>
        </w:rPr>
        <w:t>Sorular role göre ayrılır. Process owner hedef ve acceptance criteria'yı açıklar. Kullanıcı gerçek vakayı gösterir. IT ve security entegrasyon, identity ve sınırı anlatır. Privacy, hukuk, compliance ve çalışan temsilcisi review yolunu belirtir. Müşteriye yakın veya etkilenen roller sonucu görünür yapar.</w:t>
      </w:r>
    </w:p>
    <w:p>
      <w:pPr>
        <w:spacing w:after="140" w:line="283" w:lineRule="auto"/>
      </w:pPr>
      <w:r>
        <w:rPr>
          <w:rFonts w:ascii="Aptos" w:hAnsi="Aptos"/>
          <w:b w:val="0"/>
          <w:i w:val="0"/>
          <w:color w:val="1A2334"/>
          <w:sz w:val="21"/>
        </w:rPr>
        <w:t>İyi soru örnek ister: “Standart yolun çalışmadığı son vakayı gösterin.” “Hangi input sonucu kullanılamaz yapar?” “Öneri en son ne zaman geçersiz kılındı?” “Hangi dosya bağlayıcı ve sistem güncel version'ı nasıl anlar?” Böylece soyut onay değil incelenebilir nesne oluşur.</w:t>
      </w:r>
    </w:p>
    <w:p>
      <w:pPr>
        <w:keepNext/>
        <w:spacing w:before="320" w:after="120"/>
      </w:pPr>
      <w:r>
        <w:rPr>
          <w:rFonts w:ascii="Georgia" w:hAnsi="Georgia"/>
          <w:b/>
          <w:i w:val="0"/>
          <w:color w:val="1A2334"/>
          <w:sz w:val="32"/>
        </w:rPr>
        <w:t>Veri akışı ok çiziminden fazlasıdır</w:t>
      </w:r>
    </w:p>
    <w:p>
      <w:pPr>
        <w:spacing w:after="140" w:line="283" w:lineRule="auto"/>
      </w:pPr>
      <w:r>
        <w:rPr>
          <w:rFonts w:ascii="Aptos" w:hAnsi="Aptos"/>
          <w:b w:val="0"/>
          <w:i w:val="0"/>
          <w:color w:val="1A2334"/>
          <w:sz w:val="21"/>
        </w:rPr>
        <w:t>Her ok anlam taşıdığında flow diagram değerlidir. Veri nereden gelir? Kaliteyi kim kontrol eder? Hangi region ve service'te işlenir? Hangi transformation olur? Ne loglanır? Hangi retention geçerlidir? Output nereye gider, hangi action'ı tetikler?</w:t>
      </w:r>
    </w:p>
    <w:p>
      <w:pPr>
        <w:spacing w:after="140" w:line="283" w:lineRule="auto"/>
      </w:pPr>
      <w:r>
        <w:rPr>
          <w:rFonts w:ascii="Aptos" w:hAnsi="Aptos"/>
          <w:b w:val="0"/>
          <w:i w:val="0"/>
          <w:color w:val="1A2334"/>
          <w:sz w:val="21"/>
        </w:rPr>
        <w:t>Üretken ve agentic sistemler system prompt, retrieval source, embedding, vector store, tool parameter, model provider, cache, telemetry ve human feedback ekler. Arayüzde gizlenen alan log, trace veya backup'ta bulunabilir.</w:t>
      </w:r>
    </w:p>
    <w:p>
      <w:pPr>
        <w:spacing w:after="140" w:line="283" w:lineRule="auto"/>
      </w:pPr>
      <w:r>
        <w:rPr>
          <w:rFonts w:ascii="Aptos" w:hAnsi="Aptos"/>
          <w:b w:val="0"/>
          <w:i w:val="0"/>
          <w:color w:val="1A2334"/>
          <w:sz w:val="21"/>
        </w:rPr>
        <w:t>Analiz her byte'ı körlemesine kaydetmez. Amaç, karar, güvenlik veya hakkı etkileyen veriyi önceliklendirir. Hassas veya kritik path için provenance, authorization, version, transfer, storage, deletion ve olası disclosure yeniden kurulabilir kalır.</w:t>
      </w:r>
    </w:p>
    <w:p>
      <w:pPr>
        <w:keepNext/>
        <w:spacing w:before="320" w:after="120"/>
      </w:pPr>
      <w:r>
        <w:rPr>
          <w:rFonts w:ascii="Georgia" w:hAnsi="Georgia"/>
          <w:b/>
          <w:i w:val="0"/>
          <w:color w:val="1A2334"/>
          <w:sz w:val="32"/>
        </w:rPr>
        <w:t>Gerçek karar yolu önemlidir</w:t>
      </w:r>
    </w:p>
    <w:p>
      <w:pPr>
        <w:spacing w:after="140" w:line="283" w:lineRule="auto"/>
      </w:pPr>
      <w:r>
        <w:rPr>
          <w:rFonts w:ascii="Aptos" w:hAnsi="Aptos"/>
          <w:b w:val="0"/>
          <w:i w:val="0"/>
          <w:color w:val="1A2334"/>
          <w:sz w:val="21"/>
        </w:rPr>
        <w:t>Kurumlar yapay zekâyı “yardımcı” diye tanımlar. Kelime gerçek etkiyi göstermez. Zaman baskısı, interface, target veya yönetim beklentisi sapmayı engelliyorsa öneri fiilen bağlayıcı olabilir. Tersine geri alınabilir, insanı önemli ölçüde etkilemeyen ve güvenilir kontrol edilen otomatik adım düşük etki taşıyabilir.</w:t>
      </w:r>
    </w:p>
    <w:p>
      <w:pPr>
        <w:spacing w:after="140" w:line="283" w:lineRule="auto"/>
      </w:pPr>
      <w:r>
        <w:rPr>
          <w:rFonts w:ascii="Aptos" w:hAnsi="Aptos"/>
          <w:b w:val="0"/>
          <w:i w:val="0"/>
          <w:color w:val="1A2334"/>
          <w:sz w:val="21"/>
        </w:rPr>
        <w:t>Analiz output'un öncelik, erişim, fiyat, hizmet, seçim, güvenlik veya iletişimi değiştirdiği her noktayı işaretler. Her nokta decision owner, insan yetkisi, gerekli bilgi, olası bias, reversal ve complaint path taşır.</w:t>
      </w:r>
    </w:p>
    <w:p>
      <w:pPr>
        <w:spacing w:after="140" w:line="283" w:lineRule="auto"/>
      </w:pPr>
      <w:r>
        <w:rPr>
          <w:rFonts w:ascii="Aptos" w:hAnsi="Aptos"/>
          <w:b w:val="0"/>
          <w:i w:val="0"/>
          <w:color w:val="1A2334"/>
          <w:sz w:val="21"/>
        </w:rPr>
        <w:t>Human-in-the-Loop kontrol checkbox'ı değildir. Kişinin output'u anlamlı biçimde sorgulayıp durdurmak için zaman, yetkinlik, bilgi, bağımsızlık ve teknik güce sahip olup olmadığı test edilir.</w:t>
      </w:r>
    </w:p>
    <w:p>
      <w:pPr>
        <w:keepNext/>
        <w:spacing w:before="320" w:after="120"/>
      </w:pPr>
      <w:r>
        <w:rPr>
          <w:rFonts w:ascii="Georgia" w:hAnsi="Georgia"/>
          <w:b/>
          <w:i w:val="0"/>
          <w:color w:val="1A2334"/>
          <w:sz w:val="32"/>
        </w:rPr>
        <w:t>Gösterişsiz maturity değerlendirmesi</w:t>
      </w:r>
    </w:p>
    <w:p>
      <w:pPr>
        <w:spacing w:after="140" w:line="283" w:lineRule="auto"/>
      </w:pPr>
      <w:r>
        <w:rPr>
          <w:rFonts w:ascii="Aptos" w:hAnsi="Aptos"/>
          <w:b w:val="0"/>
          <w:i w:val="0"/>
          <w:color w:val="1A2334"/>
          <w:sz w:val="21"/>
        </w:rPr>
        <w:t>Maturity model diyaloğu düzenler fakat sahte kesinlik yaratabilir. Kurum tek parça “seviye üç” değildir. Data governance güçlü, model testi zayıf, incident management yok olabilir. Ortalama puan pilotu batıracak boşluğu gizler.</w:t>
      </w:r>
    </w:p>
    <w:p>
      <w:pPr>
        <w:spacing w:after="140" w:line="283" w:lineRule="auto"/>
      </w:pPr>
      <w:r>
        <w:rPr>
          <w:rFonts w:ascii="Aptos" w:hAnsi="Aptos"/>
          <w:b w:val="0"/>
          <w:i w:val="0"/>
          <w:color w:val="1A2334"/>
          <w:sz w:val="21"/>
        </w:rPr>
        <w:t>Savunulabilir assessment gözlenebilir kriterle belirli capability'leri inceler. Tam system register var mı? Owner belli mi? Data source versioned mı? Acceptance test var mı? Kullanıcı hata bildirebilir mi? Değişiklik tekrar değerlendiriliyor mu? Stop teknik olarak mümkün mü? Gerçek vakadan kanıt var mı?</w:t>
      </w:r>
    </w:p>
    <w:p>
      <w:pPr>
        <w:spacing w:after="140" w:line="283" w:lineRule="auto"/>
      </w:pPr>
      <w:r>
        <w:rPr>
          <w:rFonts w:ascii="Aptos" w:hAnsi="Aptos"/>
          <w:b w:val="0"/>
          <w:i w:val="0"/>
          <w:color w:val="1A2334"/>
          <w:sz w:val="21"/>
        </w:rPr>
        <w:t>Her puan evidence, scope ve confidence taşır. “Kısmen” açıklanır. Belirsizlik görünür kalır. Amaç güzel skor satmak değil yatırım ve kontrol kararını hazırlamaktır.</w:t>
      </w:r>
    </w:p>
    <w:p>
      <w:pPr>
        <w:keepNext/>
        <w:spacing w:before="320" w:after="120"/>
      </w:pPr>
      <w:r>
        <w:rPr>
          <w:rFonts w:ascii="Georgia" w:hAnsi="Georgia"/>
          <w:b/>
          <w:i w:val="0"/>
          <w:color w:val="1A2334"/>
          <w:sz w:val="32"/>
        </w:rPr>
        <w:t>Use case yalnız değere göre sıralanmaz</w:t>
      </w:r>
    </w:p>
    <w:p>
      <w:pPr>
        <w:spacing w:after="140" w:line="283" w:lineRule="auto"/>
      </w:pPr>
      <w:r>
        <w:rPr>
          <w:rFonts w:ascii="Aptos" w:hAnsi="Aptos"/>
          <w:b w:val="0"/>
          <w:i w:val="0"/>
          <w:color w:val="1A2334"/>
          <w:sz w:val="21"/>
        </w:rPr>
        <w:t>İyi portfolio; problem, hedef grup, beklenen değer, karar etkisi, data readiness, teknik feasibility, integration effort, risk, reversibility ve evidence ihtiyacını ayırır. Heyecan veya model yeniliği öncelik kriteri değildir.</w:t>
      </w:r>
    </w:p>
    <w:p>
      <w:pPr>
        <w:spacing w:after="140" w:line="283" w:lineRule="auto"/>
      </w:pPr>
      <w:r>
        <w:rPr>
          <w:rFonts w:ascii="Aptos" w:hAnsi="Aptos"/>
          <w:b w:val="0"/>
          <w:i w:val="0"/>
          <w:color w:val="1A2334"/>
          <w:sz w:val="21"/>
        </w:rPr>
        <w:t>Zayıf veriyle yüksek değer quick win değildir. Owner olmadan düşük risk pilot değildir. On sisteme bağlanması gereken küçük asistan pahalı olabilir. Teknik olarak zor use case dar, geri alınabilir ve ölçülebilir scope'ta test edilebiliyorsa uygun olabilir.</w:t>
      </w:r>
    </w:p>
    <w:p>
      <w:pPr>
        <w:spacing w:after="140" w:line="283" w:lineRule="auto"/>
      </w:pPr>
      <w:r>
        <w:rPr>
          <w:rFonts w:ascii="Aptos" w:hAnsi="Aptos"/>
          <w:b w:val="0"/>
          <w:i w:val="0"/>
          <w:color w:val="1A2334"/>
          <w:sz w:val="21"/>
        </w:rPr>
        <w:t>Öncelik portfolio kararıdır. Bazı fikir reddedilir, bazıları ön çalışma ister, azı pilota girer. Her aday “neden şimdi?”, “neden değil?” ve stop criterion taşır.</w:t>
      </w:r>
    </w:p>
    <w:p>
      <w:pPr>
        <w:keepNext/>
        <w:spacing w:before="320" w:after="120"/>
      </w:pPr>
      <w:r>
        <w:rPr>
          <w:rFonts w:ascii="Georgia" w:hAnsi="Georgia"/>
          <w:b/>
          <w:i w:val="0"/>
          <w:color w:val="1A2334"/>
          <w:sz w:val="32"/>
        </w:rPr>
        <w:t>Assessment'tan kontrollü pilota</w:t>
      </w:r>
    </w:p>
    <w:p>
      <w:pPr>
        <w:spacing w:after="140" w:line="283" w:lineRule="auto"/>
      </w:pPr>
      <w:r>
        <w:rPr>
          <w:rFonts w:ascii="Aptos" w:hAnsi="Aptos"/>
          <w:b w:val="0"/>
          <w:i w:val="0"/>
          <w:color w:val="1A2334"/>
          <w:sz w:val="21"/>
        </w:rPr>
        <w:t>Pilot küçük production değildir; karar değeri olan experiment'tir. Sınırlı scope'ta belirli hipotezi test eder ve devam, değişiklik veya stop için kanıt üretir.</w:t>
      </w:r>
    </w:p>
    <w:p>
      <w:pPr>
        <w:spacing w:after="140" w:line="283" w:lineRule="auto"/>
      </w:pPr>
      <w:r>
        <w:rPr>
          <w:rFonts w:ascii="Aptos" w:hAnsi="Aptos"/>
          <w:b w:val="0"/>
          <w:i w:val="0"/>
          <w:color w:val="1A2334"/>
          <w:sz w:val="21"/>
        </w:rPr>
        <w:t>Başlamadan baseline, test case, quality metric, risk threshold, user group, data scope, süre, budget ve owner tanımlanır. Average quality yanında kritik hata, grup farkı, false confidence, kullanıcı davranışı ve insan review eforu ölçülür. Seçilmiş örnekte başarılı demo yetmez.</w:t>
      </w:r>
    </w:p>
    <w:p>
      <w:pPr>
        <w:spacing w:after="140" w:line="283" w:lineRule="auto"/>
      </w:pPr>
      <w:r>
        <w:rPr>
          <w:rFonts w:ascii="Aptos" w:hAnsi="Aptos"/>
          <w:b w:val="0"/>
          <w:i w:val="0"/>
          <w:color w:val="1A2334"/>
          <w:sz w:val="21"/>
        </w:rPr>
        <w:t>Go-live ayrı gate'tir. Architecture, privacy, security, operation, training, support, monitoring ve rollback hazır olmadan pilot service olmaz. Karar kaydedilir; residual uncertainty yeşil gösterge arkasında kaybolmaz.</w:t>
      </w:r>
    </w:p>
    <w:p>
      <w:pPr>
        <w:keepNext/>
        <w:spacing w:before="320" w:after="120"/>
      </w:pPr>
      <w:r>
        <w:rPr>
          <w:rFonts w:ascii="Georgia" w:hAnsi="Georgia"/>
          <w:b/>
          <w:i w:val="0"/>
          <w:color w:val="1A2334"/>
          <w:sz w:val="32"/>
        </w:rPr>
        <w:t>AI literacy bağlama bağlıdır</w:t>
      </w:r>
    </w:p>
    <w:p>
      <w:pPr>
        <w:spacing w:after="140" w:line="283" w:lineRule="auto"/>
      </w:pPr>
      <w:r>
        <w:rPr>
          <w:rFonts w:ascii="Aptos" w:hAnsi="Aptos"/>
          <w:b w:val="0"/>
          <w:i w:val="0"/>
          <w:color w:val="1A2334"/>
          <w:sz w:val="21"/>
        </w:rPr>
        <w:t>AI Act Madde 4; bilgi, deneyim, deployment context ve etkilenen kişiler dikkate alınarak yeterli AI literacy için önlem ister. Herkese aynı genel sunum bütün ihtiyacı otomatik karşılamaz.</w:t>
      </w:r>
    </w:p>
    <w:p>
      <w:pPr>
        <w:spacing w:after="140" w:line="283" w:lineRule="auto"/>
      </w:pPr>
      <w:r>
        <w:rPr>
          <w:rFonts w:ascii="Aptos" w:hAnsi="Aptos"/>
          <w:b w:val="0"/>
          <w:i w:val="0"/>
          <w:color w:val="1A2334"/>
          <w:sz w:val="21"/>
        </w:rPr>
        <w:t>Roller farklı capability ister. Kullanıcı sınır, veri kuralı ve escalation'ı bilmeli. Process owner değerlendirme ve kontrol becerisi taşımalı. Developer test, security ve documentation pratiği edinmeli. Yönetici risk acceptance, resource ve accountability yönetmeli. Kontrol fonksiyonları teknik evidence'a erişebilmelidir.</w:t>
      </w:r>
    </w:p>
    <w:p>
      <w:pPr>
        <w:spacing w:after="140" w:line="283" w:lineRule="auto"/>
      </w:pPr>
      <w:r>
        <w:rPr>
          <w:rFonts w:ascii="Aptos" w:hAnsi="Aptos"/>
          <w:b w:val="0"/>
          <w:i w:val="0"/>
          <w:color w:val="1A2334"/>
          <w:sz w:val="21"/>
        </w:rPr>
        <w:t>Sistem analizi aynı zamanda learning-needs analysis olur. Eğitim gerçek karar, hata türü ve tool'a bağlanır; yalnız attendance certificate ile değil exercise ile doğrulanır.</w:t>
      </w:r>
    </w:p>
    <w:p>
      <w:pPr>
        <w:keepNext/>
        <w:spacing w:before="320" w:after="120"/>
      </w:pPr>
      <w:r>
        <w:rPr>
          <w:rFonts w:ascii="Georgia" w:hAnsi="Georgia"/>
          <w:b/>
          <w:i w:val="0"/>
          <w:color w:val="1A2334"/>
          <w:sz w:val="32"/>
        </w:rPr>
        <w:t>İyi danışmanlığın sınırı</w:t>
      </w:r>
    </w:p>
    <w:p>
      <w:pPr>
        <w:spacing w:after="140" w:line="283" w:lineRule="auto"/>
      </w:pPr>
      <w:r>
        <w:rPr>
          <w:rFonts w:ascii="Aptos" w:hAnsi="Aptos"/>
          <w:b w:val="0"/>
          <w:i w:val="0"/>
          <w:color w:val="1A2334"/>
          <w:sz w:val="21"/>
        </w:rPr>
        <w:t>AI consulting teknoloji, organizasyon ve governance'ı bağlar; eksik uzmanlığın yerine geçtiğini iddia etmez. Sistem ve flow'u belgeler, yükümlülük temasını işaretler, evidence toplar ve hukuk, privacy, security veya sektör uzmanına soru hazırlar. Bağlayıcı uzman kararı yetkili rolde kalır.</w:t>
      </w:r>
    </w:p>
    <w:p>
      <w:pPr>
        <w:spacing w:after="140" w:line="283" w:lineRule="auto"/>
      </w:pPr>
      <w:r>
        <w:rPr>
          <w:rFonts w:ascii="Aptos" w:hAnsi="Aptos"/>
          <w:b w:val="0"/>
          <w:i w:val="0"/>
          <w:color w:val="1A2334"/>
          <w:sz w:val="21"/>
        </w:rPr>
        <w:t>Bu sınır değeri artırır. Amaç, rol, veri, karar noktası, provider bilgisi ve açık soru yapılandırılmış pakette geldiğinde hukuk incelemesi hızlanır. Security soyut ürün adı yerine gerçek attack surface'i değerlendirir. Kurum kopuk doküman yerine karar elde eder.</w:t>
      </w:r>
    </w:p>
    <w:p>
      <w:pPr>
        <w:spacing w:after="140" w:line="283" w:lineRule="auto"/>
      </w:pPr>
      <w:r>
        <w:rPr>
          <w:rFonts w:ascii="Aptos" w:hAnsi="Aptos"/>
          <w:b w:val="0"/>
          <w:i w:val="0"/>
          <w:color w:val="1A2334"/>
          <w:sz w:val="21"/>
        </w:rPr>
        <w:t>Conflict of interest de görünür olmalıdır. Belirli tool'u satan taraf seçimi tarafsız assessment gibi sunmamalıdır. Varsayım, yöntem, sınırlama ve ticari ilişki engagement ve sonuç belgesine girer.</w:t>
      </w:r>
    </w:p>
    <w:p>
      <w:pPr>
        <w:keepNext/>
        <w:spacing w:before="320" w:after="120"/>
      </w:pPr>
      <w:r>
        <w:rPr>
          <w:rFonts w:ascii="Georgia" w:hAnsi="Georgia"/>
          <w:b/>
          <w:i w:val="0"/>
          <w:color w:val="1A2334"/>
          <w:sz w:val="32"/>
        </w:rPr>
        <w:t>Sonuç karar ve uygulama paketidir</w:t>
      </w:r>
    </w:p>
    <w:p>
      <w:pPr>
        <w:spacing w:after="140" w:line="283" w:lineRule="auto"/>
      </w:pPr>
      <w:r>
        <w:rPr>
          <w:rFonts w:ascii="Aptos" w:hAnsi="Aptos"/>
          <w:b w:val="0"/>
          <w:i w:val="0"/>
          <w:color w:val="1A2334"/>
          <w:sz w:val="21"/>
        </w:rPr>
        <w:t>Güvenilir sistem analizi bağlı paketle biter:</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Owner ve status içeren system ve use-case register.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Bağlı work, data ve governance haritaları.</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Fact, source, gap ve confidence içeren evidence register.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Sorumlusu belli risk ve control register.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Ret gerekçeli önceliklendirilmiş use-case portfolio.</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Baseline, test, boundary ve gate içeren pilot charter.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Uzman soruları ve handoff paketleri.</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Dependency ve review tarihli implementation roadmap.</w:t>
            </w:r>
          </w:p>
        </w:tc>
      </w:tr>
    </w:tbl>
    <w:p>
      <w:pPr>
        <w:spacing w:after="140" w:line="283" w:lineRule="auto"/>
      </w:pPr>
      <w:r>
        <w:rPr>
          <w:rFonts w:ascii="Aptos" w:hAnsi="Aptos"/>
          <w:b w:val="0"/>
          <w:i w:val="0"/>
          <w:color w:val="1A2334"/>
          <w:sz w:val="21"/>
        </w:rPr>
        <w:t>Kurum böylece gerekçeli karar verir. Yalnız hangi fikrin çekici olduğunu değil, hangi durumun var olduğunu, hangi kanıtın eksik olduğunu, hangi kontrolün önce kurulacağını ve hangi sonraki adımın geri alınabilir olduğunu bilir.</w:t>
      </w:r>
    </w:p>
    <w:p>
      <w:pPr>
        <w:keepNext/>
        <w:spacing w:before="320" w:after="120"/>
      </w:pPr>
      <w:r>
        <w:rPr>
          <w:rFonts w:ascii="Georgia" w:hAnsi="Georgia"/>
          <w:b/>
          <w:i w:val="0"/>
          <w:color w:val="1A2334"/>
          <w:sz w:val="32"/>
        </w:rPr>
        <w:t>Çalışma kâğıdı: Mini sistem analizi yap</w:t>
      </w:r>
    </w:p>
    <w:p>
      <w:pPr>
        <w:spacing w:after="140" w:line="283" w:lineRule="auto"/>
      </w:pPr>
      <w:r>
        <w:rPr>
          <w:rFonts w:ascii="Aptos" w:hAnsi="Aptos"/>
          <w:b w:val="0"/>
          <w:i w:val="0"/>
          <w:color w:val="1A2334"/>
          <w:sz w:val="21"/>
        </w:rPr>
        <w:t>Gerçek veya planlanan bir AI use case seç.</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Problem, değer ve risk için üç hipotez yaz.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Interview rollerini belirle ve her birinden gerçek örnek iste.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Work, system/data ve governance haritası çiz.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Her önemli claim'i evidence veya gap status'a bağla.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Karar noktası ve gerçek insan yetkisini işaretle.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Data readiness, feasibility, impact ve reversibility'yi ayrı puanla.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Pilot baseline, test, stop criterion ve go-live gate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En az bir uzman fonksiyonu için handoff paketi oluştur.</w:t>
            </w:r>
          </w:p>
        </w:tc>
      </w:tr>
    </w:tbl>
    <w:p>
      <w:pPr>
        <w:keepNext/>
        <w:spacing w:before="220" w:after="120"/>
      </w:pPr>
      <w:r>
        <w:rPr>
          <w:rFonts w:ascii="Georgia" w:hAnsi="Georgia"/>
          <w:b/>
          <w:i w:val="0"/>
          <w:color w:val="1A2334"/>
          <w:sz w:val="25"/>
        </w:rPr>
        <w:t>Yansıtma</w:t>
      </w:r>
    </w:p>
    <w:p>
      <w:pPr>
        <w:spacing w:after="140" w:line="283" w:lineRule="auto"/>
      </w:pPr>
      <w:r>
        <w:rPr>
          <w:rFonts w:ascii="Aptos" w:hAnsi="Aptos"/>
          <w:b w:val="0"/>
          <w:i w:val="0"/>
          <w:color w:val="1A2334"/>
          <w:sz w:val="21"/>
        </w:rPr>
        <w:t>Hangi ifade şu anda yalnız bir görüşmeye dayanıyor? ______________________________________________________</w:t>
      </w:r>
    </w:p>
    <w:p>
      <w:pPr>
        <w:spacing w:after="140" w:line="283" w:lineRule="auto"/>
      </w:pPr>
      <w:r>
        <w:rPr>
          <w:rFonts w:ascii="Aptos" w:hAnsi="Aptos"/>
          <w:b w:val="0"/>
          <w:i w:val="0"/>
          <w:color w:val="1A2334"/>
          <w:sz w:val="21"/>
        </w:rPr>
        <w:t>Hangi eksik kanıt use-case önceliğini tamamen değiştirebilir? ____________________________________________</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Risk Management Framework 1.0](https://www.nist.gov/itl/ai-risk-management-framework) ve [AI RMF Core](https://airc.nist.gov/airmf-resources/airmf/5-sec-core/) – Govern, Map, Measure ve Manage işlevlerinden oluşan gönüllü çerçeve; NIST güncelleme üzerinde çalışmaktadır.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[OECD Framework for the Classification of AI Systems](https://oecd.ai/en/classification) – fırsat ve riskleri incelemek için yapay zekâ sistemlerini bağlam içinde tanımlayan çerçeve.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[ISO/IEC 42001:2023](https://www.iso.org/standard/42001) – yapay zekâ geliştiren, sunan veya kullanan organizasyonlar için uluslararası yönetim sistemi standardı.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4](https://ai-act-service-desk.ec.europa.eu/en/ai-act/article-4) – bilgi, deneyim, kullanım bağlamı ve etkilenen kişiler dikkate alınarak AI literacy.</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 AI Act, Madde 13](https://ai-act-service-desk.ec.europa.eu/en/ai-act/article-13) ve [Madde 26](https://ai-act-service-desk.ec.europa.eu/en/ai-act/article-26) – deployer'a sağlanacak bilgiler ve yüksek riskli sistemler için seçilmiş deployer yükümlülükleri.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[2024/1689 sayılı Tüzük](https://eur-lex.europa.eu/eli/reg/2024/1689/oj/eng) – AB AI Act'in bağlayıcı birincil metni.</w:t>
      </w:r>
    </w:p>
    <w:p>
      <w:pPr>
        <w:spacing w:after="140" w:line="283" w:lineRule="auto"/>
      </w:pPr>
      <w:r>
        <w:rPr>
          <w:rFonts w:ascii="Aptos" w:hAnsi="Aptos"/>
          <w:b w:val="0"/>
          <w:i w:val="0"/>
          <w:color w:val="1A2334"/>
          <w:sz w:val="21"/>
        </w:rPr>
        <w:t>*Kapsam:* Makale discovery, sistem analizi ve uygulama planlaması için disiplinler arası yöntem sunar. Hukuk, veri koruma, bilgi güvenliği, çalışan katılımı veya sektörel uzman incelemesinin yerine geçmez. Standart ve framework yön gösterir; kullanımı veya sertifikasyonu kendiliğinden hukuki zorunluluk değildir. Editoryal inceleme tarihi: 16 Temmuz 2026.</w:t>
      </w:r>
    </w:p>
    <w:p>
      <w:r>
        <w:br w:type="page"/>
      </w:r>
    </w:p>
    <w:p>
      <w:pPr>
        <w:keepNext/>
        <w:spacing w:before="320" w:after="120"/>
      </w:pPr>
      <w:r>
        <w:rPr>
          <w:rFonts w:ascii="Georgia" w:hAnsi="Georgia"/>
          <w:b/>
          <w:i w:val="0"/>
          <w:color w:val="1A2334"/>
          <w:sz w:val="32"/>
        </w:rPr>
        <w:t>Çalışma şablonu: Mini sistem analizi</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Hipotez / amaç / scope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Rol / interview / vaka</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Work map / istisna</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Sistem / veri / interface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Governance / karar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Kanıt / gap / confidence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Pilot / gate / handoff</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İyi yapay zekâ danışmanlığı güvenilir sistem analiziyle başlar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