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MİMARİ VE EGEMENLİK</w:t>
      </w:r>
    </w:p>
    <w:p>
      <w:pPr>
        <w:spacing w:after="160" w:line="235" w:lineRule="auto"/>
      </w:pPr>
      <w:r>
        <w:rPr>
          <w:rFonts w:ascii="Fraunces" w:hAnsi="Fraunces" w:eastAsia="Fraunces"/>
          <w:b/>
          <w:i w:val="0"/>
          <w:color w:val="1A2334"/>
          <w:sz w:val="56"/>
        </w:rPr>
        <w:t>Hibrit yapay zekâ mimarisi: Doğru iş adımı için doğru model</w:t>
      </w:r>
    </w:p>
    <w:p>
      <w:pPr>
        <w:spacing w:after="340" w:line="293" w:lineRule="auto"/>
      </w:pPr>
      <w:r>
        <w:rPr>
          <w:rFonts w:ascii="Source Serif 4" w:hAnsi="Source Serif 4" w:eastAsia="Source Serif 4"/>
          <w:b w:val="0"/>
          <w:i/>
          <w:color w:val="637087"/>
          <w:sz w:val="26"/>
        </w:rPr>
        <w:t>Egemenlik her şeyi yerelde veya bulutta çalıştırmaktan doğmaz. Bilinçli yönlendirme, sınırlı devirler ve güvenilir geri dönüş yollarından doğar.</w:t>
      </w:r>
    </w:p>
    <w:p>
      <w:pPr>
        <w:spacing w:after="420"/>
      </w:pPr>
      <w:r>
        <w:rPr>
          <w:rFonts w:ascii="IBM Plex Mono" w:hAnsi="IBM Plex Mono" w:eastAsia="IBM Plex Mono"/>
          <w:b w:val="0"/>
          <w:i w:val="0"/>
          <w:color w:val="4F7CFF"/>
          <w:sz w:val="17"/>
        </w:rPr>
        <w:t>15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Yerel ve bulut yapay zekâ seçimi çoğu zaman inanç meselesi gibi yürütülür. Yerel kontrol, bulut yetenek demektir. Gerçek projeler daha karmaşıktır. Kamusal araştırma, gizli belge analizi ve otomatik onay farklı gereksinimlere sahiptir. Hibrit mimari bütün kurumu tek yere atamaz. İşi adımlara böler ve her adımda yeniden sorar: Hangi veri gerekli, hangi yetenek önemli, hangi etki doğabilir ve sonuç nasıl doğrulanır?</w:t>
            </w:r>
          </w:p>
        </w:tc>
      </w:tr>
    </w:tbl>
    <w:p>
      <w:pPr>
        <w:keepNext/>
        <w:spacing w:before="360" w:after="140"/>
      </w:pPr>
      <w:r>
        <w:rPr>
          <w:rFonts w:ascii="Fraunces" w:hAnsi="Fraunces" w:eastAsia="Fraunces"/>
          <w:b/>
          <w:i w:val="0"/>
          <w:color w:val="1A2334"/>
          <w:sz w:val="36"/>
        </w:rPr>
        <w:t>Hibrit, uzlaşma değil iş bölümüdür</w:t>
      </w:r>
    </w:p>
    <w:p>
      <w:pPr>
        <w:spacing w:before="0" w:after="160" w:line="322" w:lineRule="auto"/>
      </w:pPr>
      <w:r>
        <w:rPr>
          <w:rFonts w:ascii="Source Serif 4" w:hAnsi="Source Serif 4" w:eastAsia="Source Serif 4"/>
          <w:b w:val="0"/>
          <w:i w:val="0"/>
          <w:color w:val="1A2334"/>
          <w:sz w:val="22"/>
        </w:rPr>
        <w:t>Zayıf hibrit düzen görevleri araçlara rastgele dağıtır. Güçlü mimari her yürütme ortamına açık rol verir. Hassas ön işleme veriye yakın kalabilir, güçlü model temizlenmiş malzemeyle çalışabilir ve bağımsız doğrulama katmanı sonucu denetleyebilir.</w:t>
      </w:r>
    </w:p>
    <w:p>
      <w:pPr>
        <w:spacing w:before="0" w:after="160" w:line="322" w:lineRule="auto"/>
      </w:pPr>
      <w:r>
        <w:rPr>
          <w:rFonts w:ascii="Source Serif 4" w:hAnsi="Source Serif 4" w:eastAsia="Source Serif 4"/>
          <w:b w:val="0"/>
          <w:i w:val="0"/>
          <w:color w:val="1A2334"/>
          <w:sz w:val="22"/>
        </w:rPr>
        <w:t>Fayda çok sayıda sistemi bağlamak değildir. Farklı sorumlulukları ayırmaktır. Veri saklama, işleme, üretim, doğrulama ve onay aynı yerde gerçekleşmek zorunda değildir; ancak geçişleri görünür ve gerekçeli olmalıdır.</w:t>
      </w:r>
    </w:p>
    <w:p>
      <w:pPr>
        <w:spacing w:before="0" w:after="160" w:line="322" w:lineRule="auto"/>
      </w:pPr>
      <w:r>
        <w:rPr>
          <w:rFonts w:ascii="Source Serif 4" w:hAnsi="Source Serif 4" w:eastAsia="Source Serif 4"/>
          <w:b w:val="0"/>
          <w:i w:val="0"/>
          <w:color w:val="1A2334"/>
          <w:sz w:val="22"/>
        </w:rPr>
        <w:t>Hibritlik böylece tasarım kararına dönüşür: Her adım, verisinin, yetenek ihtiyacının ve sonuçlarının hak ettiği ortamı alır. Mimari tek aracın rahatlığına değil, işe uyar.</w:t>
      </w:r>
    </w:p>
    <w:p>
      <w:pPr>
        <w:keepNext/>
        <w:spacing w:before="360" w:after="140"/>
      </w:pPr>
      <w:r>
        <w:rPr>
          <w:rFonts w:ascii="Fraunces" w:hAnsi="Fraunces" w:eastAsia="Fraunces"/>
          <w:b/>
          <w:i w:val="0"/>
          <w:color w:val="1A2334"/>
          <w:sz w:val="36"/>
        </w:rPr>
        <w:t>Çalışma yerini beş ölçüt belirler</w:t>
      </w:r>
    </w:p>
    <w:p>
      <w:pPr>
        <w:spacing w:before="0" w:after="160" w:line="322" w:lineRule="auto"/>
      </w:pPr>
      <w:r>
        <w:rPr>
          <w:rFonts w:ascii="Source Serif 4" w:hAnsi="Source Serif 4" w:eastAsia="Source Serif 4"/>
          <w:b w:val="0"/>
          <w:i w:val="0"/>
          <w:color w:val="1A2334"/>
          <w:sz w:val="22"/>
        </w:rPr>
        <w:t>İlk ölçüt hassasiyettir. Adım hangi veriye gerçekten ihtiyaç duyuyor ve bu veri kontrollü alanı terk edebilir mi? İkincisi yetenektir: Görev belirli model kalitesi, geniş bağlam, görüntü, araç veya yüksek hız istiyor mu?</w:t>
      </w:r>
    </w:p>
    <w:p>
      <w:pPr>
        <w:spacing w:before="0" w:after="160" w:line="322" w:lineRule="auto"/>
      </w:pPr>
      <w:r>
        <w:rPr>
          <w:rFonts w:ascii="Source Serif 4" w:hAnsi="Source Serif 4" w:eastAsia="Source Serif 4"/>
          <w:b w:val="0"/>
          <w:i w:val="0"/>
          <w:color w:val="1A2334"/>
          <w:sz w:val="22"/>
        </w:rPr>
        <w:t>Üçüncüsü maliyettir; yalnız istek fiyatı değil, işletme, bakım, personel ve doğrulama yükü de dahildir. Dördüncüsü gecikmedir: Cevap hemen mi gerekli, toplu mu çalışabilir, arka planda mı yürür? Beşincisi doğrulanabilirliktir. Sonuç zor denetleniyorsa etkisi daha sıkı sınırlandırılmalıdır.</w:t>
      </w:r>
    </w:p>
    <w:p>
      <w:pPr>
        <w:spacing w:before="0" w:after="160" w:line="322" w:lineRule="auto"/>
      </w:pPr>
      <w:r>
        <w:rPr>
          <w:rFonts w:ascii="Source Serif 4" w:hAnsi="Source Serif 4" w:eastAsia="Source Serif 4"/>
          <w:b w:val="0"/>
          <w:i w:val="0"/>
          <w:color w:val="1A2334"/>
          <w:sz w:val="22"/>
        </w:rPr>
        <w:t>Bu ölçütler birlikte işler. Ucuz model, her sonuç düzeltiliyorsa pahalı olur. Güçlü model, gereken veri ortamına giremiyorsa uygun değildir. Yönlendirme model sıralaması değil, gereksinim eşleştirmesidir.</w:t>
      </w:r>
    </w:p>
    <w:p>
      <w:pPr>
        <w:keepNext/>
        <w:spacing w:before="360" w:after="140"/>
      </w:pPr>
      <w:r>
        <w:rPr>
          <w:rFonts w:ascii="Fraunces" w:hAnsi="Fraunces" w:eastAsia="Fraunces"/>
          <w:b/>
          <w:i w:val="0"/>
          <w:color w:val="1A2334"/>
          <w:sz w:val="36"/>
        </w:rPr>
        <w:t>Üç bölge mimariyi okunabilir yapar</w:t>
      </w:r>
    </w:p>
    <w:p>
      <w:pPr>
        <w:spacing w:before="0" w:after="160" w:line="322" w:lineRule="auto"/>
      </w:pPr>
      <w:r>
        <w:rPr>
          <w:rFonts w:ascii="Source Serif 4" w:hAnsi="Source Serif 4" w:eastAsia="Source Serif 4"/>
          <w:b w:val="0"/>
          <w:i w:val="0"/>
          <w:color w:val="1A2334"/>
          <w:sz w:val="22"/>
        </w:rPr>
        <w:t>Kontrollü bölge çok hassas bilgi, kimlik, iç ham veri veya gizli anahtar işler. Aktarım öncesinde azaltır, anonimleştirir, çıkarır ve denetler. Yerel veya sıkı kontrol edilen başka ortam olabilir; önemli olan erişim ve amaç sınırlamasıdır.</w:t>
      </w:r>
    </w:p>
    <w:p>
      <w:pPr>
        <w:spacing w:before="0" w:after="160" w:line="322" w:lineRule="auto"/>
      </w:pPr>
      <w:r>
        <w:rPr>
          <w:rFonts w:ascii="Source Serif 4" w:hAnsi="Source Serif 4" w:eastAsia="Source Serif 4"/>
          <w:b w:val="0"/>
          <w:i w:val="0"/>
          <w:color w:val="1A2334"/>
          <w:sz w:val="22"/>
        </w:rPr>
        <w:t>Korumalı çalışma bölgesi onaylı iç bilgi içerir. Modeller burada taslak, analiz ve yapılandırılmış ara sonuç üretirken erişim, kayıt ve saklama tanımlı kalır. Açık yetenek bölgesi yalnız kamusal, sentetik veya yeterince temizlenmiş malzemeyle çalışır ve özel yetenekleri esnek kullanır.</w:t>
      </w:r>
    </w:p>
    <w:p>
      <w:pPr>
        <w:spacing w:before="0" w:after="160" w:line="322" w:lineRule="auto"/>
      </w:pPr>
      <w:r>
        <w:rPr>
          <w:rFonts w:ascii="Source Serif 4" w:hAnsi="Source Serif 4" w:eastAsia="Source Serif 4"/>
          <w:b w:val="0"/>
          <w:i w:val="0"/>
          <w:color w:val="1A2334"/>
          <w:sz w:val="22"/>
        </w:rPr>
        <w:t>Görev bölgeler arasında geçebilir; fakat görünmez toplu aktarım olarak değil. Her devir alanları, çıkarma adımlarını, amacı ve dönüş yolunu belirtir. Veri minimizasyonu politika sözü değil, teknik arayüz olur.</w:t>
      </w:r>
    </w:p>
    <w:p>
      <w:pPr>
        <w:keepNext/>
        <w:spacing w:before="360" w:after="140"/>
      </w:pPr>
      <w:r>
        <w:rPr>
          <w:rFonts w:ascii="Fraunces" w:hAnsi="Fraunces" w:eastAsia="Fraunces"/>
          <w:b/>
          <w:i w:val="0"/>
          <w:color w:val="1A2334"/>
          <w:sz w:val="36"/>
        </w:rPr>
        <w:t>Yönlendirici sezgi değil kural ister</w:t>
      </w:r>
    </w:p>
    <w:p>
      <w:pPr>
        <w:spacing w:before="0" w:after="160" w:line="322" w:lineRule="auto"/>
      </w:pPr>
      <w:r>
        <w:rPr>
          <w:rFonts w:ascii="Source Serif 4" w:hAnsi="Source Serif 4" w:eastAsia="Source Serif 4"/>
          <w:b w:val="0"/>
          <w:i w:val="0"/>
          <w:color w:val="1A2334"/>
          <w:sz w:val="22"/>
        </w:rPr>
        <w:t>Yönlendirici teknik hizmet, iş akışı veya insanın yönettiği karar tablosu olabilir. Görevi aynıdır: malzemeyi sınıflandırmak, gereksinimi okumak ve izinli yürütme yolunu seçmek. Yalnız model kalitesine veya erişilebilirliğe göre karar vermemelidir.</w:t>
      </w:r>
    </w:p>
    <w:p>
      <w:pPr>
        <w:spacing w:before="0" w:after="160" w:line="322" w:lineRule="auto"/>
      </w:pPr>
      <w:r>
        <w:rPr>
          <w:rFonts w:ascii="Source Serif 4" w:hAnsi="Source Serif 4" w:eastAsia="Source Serif 4"/>
          <w:b w:val="0"/>
          <w:i w:val="0"/>
          <w:color w:val="1A2334"/>
          <w:sz w:val="22"/>
        </w:rPr>
        <w:t>İyi kurallar okunabilir. Kişisel ham veri gerekiyorsa ön işleme kontrollü bölgede kalır. Yalnız kamusal temizlenmiş özet gerekiyorsa üretim açık bölgeye geçebilir. Sonuç dış etki yaratıyorsa onay öncesi bağımsız inceleme gelir.</w:t>
      </w:r>
    </w:p>
    <w:p>
      <w:pPr>
        <w:spacing w:before="0" w:after="160" w:line="322" w:lineRule="auto"/>
      </w:pPr>
      <w:r>
        <w:rPr>
          <w:rFonts w:ascii="Source Serif 4" w:hAnsi="Source Serif 4" w:eastAsia="Source Serif 4"/>
          <w:b w:val="0"/>
          <w:i w:val="0"/>
          <w:color w:val="1A2334"/>
          <w:sz w:val="22"/>
        </w:rPr>
        <w:t>Belirsizlik de yönlendirme koşuludur. Hassasiyet güvenle belirlenemiyorsa süreç daha sıkı bölgeyi seçer veya durur. Otomatik yönlendirme yalnız sınıflandırması sınanabilir kaldığında sorumludur.</w:t>
      </w:r>
    </w:p>
    <w:p>
      <w:pPr>
        <w:keepNext/>
        <w:spacing w:before="360" w:after="140"/>
      </w:pPr>
      <w:r>
        <w:rPr>
          <w:rFonts w:ascii="Fraunces" w:hAnsi="Fraunces" w:eastAsia="Fraunces"/>
          <w:b/>
          <w:i w:val="0"/>
          <w:color w:val="1A2334"/>
          <w:sz w:val="36"/>
        </w:rPr>
        <w:t>Geri dönüş yolları mimariyi dayanıklı yapar</w:t>
      </w:r>
    </w:p>
    <w:p>
      <w:pPr>
        <w:spacing w:before="0" w:after="160" w:line="322" w:lineRule="auto"/>
      </w:pPr>
      <w:r>
        <w:rPr>
          <w:rFonts w:ascii="Source Serif 4" w:hAnsi="Source Serif 4" w:eastAsia="Source Serif 4"/>
          <w:b w:val="0"/>
          <w:i w:val="0"/>
          <w:color w:val="1A2334"/>
          <w:sz w:val="22"/>
        </w:rPr>
        <w:t>Hibrit mimari her model ve hizmetin her zaman erişilebilir olacağını varsayamaz. Kesinti, kapasite sınırı, maliyet değişimi ve kalite sorunu planlanmalıdır. Geri dönüş yalnız listedeki sonraki model değildir.</w:t>
      </w:r>
    </w:p>
    <w:p>
      <w:pPr>
        <w:spacing w:before="0" w:after="160" w:line="322" w:lineRule="auto"/>
      </w:pPr>
      <w:r>
        <w:rPr>
          <w:rFonts w:ascii="Source Serif 4" w:hAnsi="Source Serif 4" w:eastAsia="Source Serif 4"/>
          <w:b w:val="0"/>
          <w:i w:val="0"/>
          <w:color w:val="1A2334"/>
          <w:sz w:val="22"/>
        </w:rPr>
        <w:t>Yedek yol aynı veri ve etki sınırlarını korumalıdır. Güçlü hizmet yoksa süreç daha küçük yerel çıktı üretir, kapsamı azaltır, sıraya alır veya bilinçli durur. Hiçbiri sessizce başka veri bölgesini açmamalıdır.</w:t>
      </w:r>
    </w:p>
    <w:p>
      <w:pPr>
        <w:spacing w:before="0" w:after="160" w:line="322" w:lineRule="auto"/>
      </w:pPr>
      <w:r>
        <w:rPr>
          <w:rFonts w:ascii="Source Serif 4" w:hAnsi="Source Serif 4" w:eastAsia="Source Serif 4"/>
          <w:b w:val="0"/>
          <w:i w:val="0"/>
          <w:color w:val="1A2334"/>
          <w:sz w:val="22"/>
        </w:rPr>
        <w:t>Dayanıklılık azaltılmış çalışma kiplerini de içerir. Sistem geçici olarak yazmak yerine sınıflandırabilir, yayımlamak yerine taslak üretebilir veya yalnız onaylı kaynak kullanabilir. Daha az işlev, kontrolsüz değişimden çoğu zaman daha güvenlidir.</w:t>
      </w:r>
    </w:p>
    <w:p>
      <w:pPr>
        <w:keepNext/>
        <w:spacing w:before="360" w:after="140"/>
      </w:pPr>
      <w:r>
        <w:rPr>
          <w:rFonts w:ascii="Fraunces" w:hAnsi="Fraunces" w:eastAsia="Fraunces"/>
          <w:b/>
          <w:i w:val="0"/>
          <w:color w:val="1A2334"/>
          <w:sz w:val="36"/>
        </w:rPr>
        <w:t>Taşınabilirlik gizli bağımlılığa karşı korur</w:t>
      </w:r>
    </w:p>
    <w:p>
      <w:pPr>
        <w:spacing w:before="0" w:after="160" w:line="322" w:lineRule="auto"/>
      </w:pPr>
      <w:r>
        <w:rPr>
          <w:rFonts w:ascii="Source Serif 4" w:hAnsi="Source Serif 4" w:eastAsia="Source Serif 4"/>
          <w:b w:val="0"/>
          <w:i w:val="0"/>
          <w:color w:val="1A2334"/>
          <w:sz w:val="22"/>
        </w:rPr>
        <w:t>Bağımlılık sözleşmeyle başlamaz. Promptlar, veri biçimleri, değerlendirme kuralları ve iş akışları tek arayüzde yaşadığında büyür. Teknik olarak değiştirilebilir model bile pratikte zor değiştirilir.</w:t>
      </w:r>
    </w:p>
    <w:p>
      <w:pPr>
        <w:spacing w:before="0" w:after="160" w:line="322" w:lineRule="auto"/>
      </w:pPr>
      <w:r>
        <w:rPr>
          <w:rFonts w:ascii="Source Serif 4" w:hAnsi="Source Serif 4" w:eastAsia="Source Serif 4"/>
          <w:b w:val="0"/>
          <w:i w:val="0"/>
          <w:color w:val="1A2334"/>
          <w:sz w:val="22"/>
        </w:rPr>
        <w:t>Çekirdeği tek sistem dışında tut: görev tanımı, bağlam manifestosu, veri sınıflandırması, kabul ölçütleri, test vakaları ve çıktı şeması. Adaptörler çekirdeği ortama çevirir. Model değiştiğinde çalışma sözleşmesi kalır, yalnız adaptör değişir.</w:t>
      </w:r>
    </w:p>
    <w:p>
      <w:pPr>
        <w:spacing w:before="0" w:after="160" w:line="322" w:lineRule="auto"/>
      </w:pPr>
      <w:r>
        <w:rPr>
          <w:rFonts w:ascii="Source Serif 4" w:hAnsi="Source Serif 4" w:eastAsia="Source Serif 4"/>
          <w:b w:val="0"/>
          <w:i w:val="0"/>
          <w:color w:val="1A2334"/>
          <w:sz w:val="22"/>
        </w:rPr>
        <w:t>Taşınabilirlik test ister. İki model aynı görevi farklı yorumlayabilir. Geçiş ancak referans vakaları, güvenlik sınırları ve kalite ölçütleri yeniden geçtiğinde başarılıdır. Değiştirilebilirlik iddia değil, sınanmış yetenektir.</w:t>
      </w:r>
    </w:p>
    <w:p>
      <w:pPr>
        <w:keepNext/>
        <w:spacing w:before="360" w:after="140"/>
      </w:pPr>
      <w:r>
        <w:rPr>
          <w:rFonts w:ascii="Fraunces" w:hAnsi="Fraunces" w:eastAsia="Fraunces"/>
          <w:b/>
          <w:i w:val="0"/>
          <w:color w:val="1A2334"/>
          <w:sz w:val="36"/>
        </w:rPr>
        <w:t>Gözlemlenebilirlik bölgeleri bağlar</w:t>
      </w:r>
    </w:p>
    <w:p>
      <w:pPr>
        <w:spacing w:before="0" w:after="160" w:line="322" w:lineRule="auto"/>
      </w:pPr>
      <w:r>
        <w:rPr>
          <w:rFonts w:ascii="Source Serif 4" w:hAnsi="Source Serif 4" w:eastAsia="Source Serif 4"/>
          <w:b w:val="0"/>
          <w:i w:val="0"/>
          <w:color w:val="1A2334"/>
          <w:sz w:val="22"/>
        </w:rPr>
        <w:t>Birden fazla sisteme yayılan iş ortak iz ister. Hangi veri sınıfı bulundu? Hangi yol seçildi? Hangi temizleme yapıldı? Hangi model hangi ara sonucu üretti? Hangi inceleme onaya götürdü? Bu cevaplar yoksa hibritlik kapalı dağıtımdır.</w:t>
      </w:r>
    </w:p>
    <w:p>
      <w:pPr>
        <w:spacing w:before="0" w:after="160" w:line="322" w:lineRule="auto"/>
      </w:pPr>
      <w:r>
        <w:rPr>
          <w:rFonts w:ascii="Source Serif 4" w:hAnsi="Source Serif 4" w:eastAsia="Source Serif 4"/>
          <w:b w:val="0"/>
          <w:i w:val="0"/>
          <w:color w:val="1A2334"/>
          <w:sz w:val="22"/>
        </w:rPr>
        <w:t>İz her iç düşünceyi saklamak zorunda değildir. Karar ve etkileri açıklamalıdır. Devir, geri dönüş, istisna ve insan onayı özellikle önemlidir; mimarinin nerede sorumluluk taşıdığını gösterir.</w:t>
      </w:r>
    </w:p>
    <w:p>
      <w:pPr>
        <w:spacing w:before="0" w:after="160" w:line="322" w:lineRule="auto"/>
      </w:pPr>
      <w:r>
        <w:rPr>
          <w:rFonts w:ascii="Source Serif 4" w:hAnsi="Source Serif 4" w:eastAsia="Source Serif 4"/>
          <w:b w:val="0"/>
          <w:i w:val="0"/>
          <w:color w:val="1A2334"/>
          <w:sz w:val="22"/>
        </w:rPr>
        <w:t>Düzenli inceleme yönlendirmeyi iyileştirir. Hangi görev gereksiz pahalı ortama gidiyor? Nerede fazla bağlam aktarılıyor? Hangi yerel işleme çok düzeltme doğuruyor? Mimari varsayımla değil, gözlemlenen işle gelişir.</w:t>
      </w:r>
    </w:p>
    <w:p>
      <w:pPr>
        <w:keepNext/>
        <w:spacing w:before="360" w:after="140"/>
      </w:pPr>
      <w:r>
        <w:rPr>
          <w:rFonts w:ascii="Fraunces" w:hAnsi="Fraunces" w:eastAsia="Fraunces"/>
          <w:b/>
          <w:i w:val="0"/>
          <w:color w:val="1A2334"/>
          <w:sz w:val="36"/>
        </w:rPr>
        <w:t>İnsan her yürütmeyi değil sınırı tasarlar</w:t>
      </w:r>
    </w:p>
    <w:p>
      <w:pPr>
        <w:spacing w:before="0" w:after="160" w:line="322" w:lineRule="auto"/>
      </w:pPr>
      <w:r>
        <w:rPr>
          <w:rFonts w:ascii="Source Serif 4" w:hAnsi="Source Serif 4" w:eastAsia="Source Serif 4"/>
          <w:b w:val="0"/>
          <w:i w:val="0"/>
          <w:color w:val="1A2334"/>
          <w:sz w:val="22"/>
        </w:rPr>
        <w:t>İnsan her model seçimini onaylamamalıdır. Kuralları tanımlar, sınır vakalarını inceler ve etkisi büyük yolları kararlaştırır. İyi mimari insan dikkatini rutinden istisna, değişiklik ve onaya taşır.</w:t>
      </w:r>
    </w:p>
    <w:p>
      <w:pPr>
        <w:spacing w:before="0" w:after="160" w:line="322" w:lineRule="auto"/>
      </w:pPr>
      <w:r>
        <w:rPr>
          <w:rFonts w:ascii="Source Serif 4" w:hAnsi="Source Serif 4" w:eastAsia="Source Serif 4"/>
          <w:b w:val="0"/>
          <w:i w:val="0"/>
          <w:color w:val="1A2334"/>
          <w:sz w:val="22"/>
        </w:rPr>
        <w:t>Açık sorumluluk gerekir: Veriyi kim sınıflandırır? Yönlendirme kuralını kim değiştirir? Yeni bağımlılığı kim onaylar? Kalite düşüşünde kim karar verir? Bu roller yoksa teknik yönlendirici görünmez yönetişim otoritesine dönüşür.</w:t>
      </w:r>
    </w:p>
    <w:p>
      <w:pPr>
        <w:spacing w:before="0" w:after="160" w:line="322" w:lineRule="auto"/>
      </w:pPr>
      <w:r>
        <w:rPr>
          <w:rFonts w:ascii="Source Serif 4" w:hAnsi="Source Serif 4" w:eastAsia="Source Serif 4"/>
          <w:b w:val="0"/>
          <w:i w:val="0"/>
          <w:color w:val="1A2334"/>
          <w:sz w:val="22"/>
        </w:rPr>
        <w:t>Egemen hibrit mimari ne her ne pahasına yerel ne sınırsız bağlıdır. İşi bilinçle dağıtma, devirleri küçük tutma, sonuçları doğrulama ve her zaman güvenli dönüş yoluna sahip olma yeteneğidir.</w:t>
      </w:r>
    </w:p>
    <w:p>
      <w:pPr>
        <w:keepNext/>
        <w:spacing w:before="360" w:after="140"/>
      </w:pPr>
      <w:r>
        <w:rPr>
          <w:rFonts w:ascii="Fraunces" w:hAnsi="Fraunces" w:eastAsia="Fraunces"/>
          <w:b/>
          <w:i w:val="0"/>
          <w:color w:val="1A2334"/>
          <w:sz w:val="36"/>
        </w:rPr>
        <w:t>Yönlendirme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YÖNLENDİRME KARTI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**İş adımı ve etki**</w:t>
            </w:r>
          </w:p>
          <w:p>
            <w:pPr>
              <w:spacing w:after="40"/>
            </w:pPr>
            <w:r>
              <w:rPr>
                <w:rFonts w:ascii="IBM Plex Mono" w:hAnsi="IBM Plex Mono" w:eastAsia="IBM Plex Mono"/>
                <w:b w:val="0"/>
                <w:i w:val="0"/>
                <w:color w:val="27334A"/>
                <w:sz w:val="17"/>
              </w:rPr>
              <w:t>Ne üretilecek, hangi sonucu doğurabilir?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**Veri sınıfı**</w:t>
            </w:r>
          </w:p>
          <w:p>
            <w:pPr>
              <w:spacing w:after="40"/>
            </w:pPr>
            <w:r>
              <w:rPr>
                <w:rFonts w:ascii="IBM Plex Mono" w:hAnsi="IBM Plex Mono" w:eastAsia="IBM Plex Mono"/>
                <w:b w:val="0"/>
                <w:i w:val="0"/>
                <w:color w:val="27334A"/>
                <w:sz w:val="17"/>
              </w:rPr>
              <w:t>Kamusal, iç, hassas veya özel kontrollü?</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**Yetenek ihtiyacı**</w:t>
            </w:r>
          </w:p>
          <w:p>
            <w:pPr>
              <w:spacing w:after="40"/>
            </w:pPr>
            <w:r>
              <w:rPr>
                <w:rFonts w:ascii="IBM Plex Mono" w:hAnsi="IBM Plex Mono" w:eastAsia="IBM Plex Mono"/>
                <w:b w:val="0"/>
                <w:i w:val="0"/>
                <w:color w:val="27334A"/>
                <w:sz w:val="17"/>
              </w:rPr>
              <w:t>Hangi kalite, modalite, araç, hız ve bağlam hacmi gerekli?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**Bölge ve model rolü**</w:t>
            </w:r>
          </w:p>
          <w:p>
            <w:pPr>
              <w:spacing w:after="40"/>
            </w:pPr>
            <w:r>
              <w:rPr>
                <w:rFonts w:ascii="IBM Plex Mono" w:hAnsi="IBM Plex Mono" w:eastAsia="IBM Plex Mono"/>
                <w:b w:val="0"/>
                <w:i w:val="0"/>
                <w:color w:val="27334A"/>
                <w:sz w:val="17"/>
              </w:rPr>
              <w:t>Ön işleme, üretim, doğrulama ve onay nerede?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**Devir**</w:t>
            </w:r>
          </w:p>
          <w:p>
            <w:pPr>
              <w:spacing w:after="40"/>
            </w:pPr>
            <w:r>
              <w:rPr>
                <w:rFonts w:ascii="IBM Plex Mono" w:hAnsi="IBM Plex Mono" w:eastAsia="IBM Plex Mono"/>
                <w:b w:val="0"/>
                <w:i w:val="0"/>
                <w:color w:val="27334A"/>
                <w:sz w:val="17"/>
              </w:rPr>
              <w:t>Hangi alan bölgeyi terk eder, ne çıkarılır veya değiştirilir?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**Doğrulama**</w:t>
            </w:r>
          </w:p>
          <w:p>
            <w:pPr>
              <w:spacing w:after="40"/>
            </w:pPr>
            <w:r>
              <w:rPr>
                <w:rFonts w:ascii="IBM Plex Mono" w:hAnsi="IBM Plex Mono" w:eastAsia="IBM Plex Mono"/>
                <w:b w:val="0"/>
                <w:i w:val="0"/>
                <w:color w:val="27334A"/>
                <w:sz w:val="17"/>
              </w:rPr>
              <w:t>Sonuç sonraki etkiden önce nasıl denetlenir?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**Geri dönüş**</w:t>
            </w:r>
          </w:p>
          <w:p>
            <w:pPr>
              <w:spacing w:after="40"/>
            </w:pPr>
            <w:r>
              <w:rPr>
                <w:rFonts w:ascii="IBM Plex Mono" w:hAnsi="IBM Plex Mono" w:eastAsia="IBM Plex Mono"/>
                <w:b w:val="0"/>
                <w:i w:val="0"/>
                <w:color w:val="27334A"/>
                <w:sz w:val="17"/>
              </w:rPr>
              <w:t>Kesintide hangi güvenli yedek veya azaltılmış kip geçerli?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**Taşınabilirlik**</w:t>
            </w:r>
          </w:p>
          <w:p>
            <w:pPr>
              <w:spacing w:after="40"/>
            </w:pPr>
            <w:r>
              <w:rPr>
                <w:rFonts w:ascii="IBM Plex Mono" w:hAnsi="IBM Plex Mono" w:eastAsia="IBM Plex Mono"/>
                <w:b w:val="0"/>
                <w:i w:val="0"/>
                <w:color w:val="27334A"/>
                <w:sz w:val="17"/>
              </w:rPr>
              <w:t>Hangi standart, test ve adaptör değişimi mümkün kılar?</w:t>
            </w:r>
          </w:p>
        </w:tc>
      </w:tr>
    </w:tbl>
    <w:p>
      <w:pPr>
        <w:spacing w:before="240" w:after="280" w:line="322" w:lineRule="auto"/>
      </w:pPr>
      <w:r>
        <w:rPr>
          <w:rFonts w:ascii="Source Serif 4" w:hAnsi="Source Serif 4" w:eastAsia="Source Serif 4"/>
          <w:b w:val="0"/>
          <w:i w:val="0"/>
          <w:color w:val="1A2334"/>
          <w:sz w:val="22"/>
        </w:rPr>
        <w:t>En iyi hibrit mimari teknik açıdan en etkileyici olan değildir. Her devrin amacı olduğu, her modelin sınırlı rol oynadığı ve bilgi, güvenlik veya çalışma yeteneği kaybolmadan değişimin mümkün kaldığı mimaridir.</w:t>
      </w:r>
    </w:p>
    <w:p>
      <w:r>
        <w:br w:type="page"/>
      </w:r>
    </w:p>
    <w:p>
      <w:pPr>
        <w:spacing w:after="140"/>
      </w:pPr>
      <w:r>
        <w:rPr>
          <w:rFonts w:ascii="Fraunces" w:hAnsi="Fraunces" w:eastAsia="Fraunces"/>
          <w:b/>
          <w:i w:val="0"/>
          <w:color w:val="1A2334"/>
          <w:sz w:val="50"/>
        </w:rPr>
        <w:t>Çalışma kâğıdı: Hibrit model yolu tasarla</w:t>
      </w:r>
    </w:p>
    <w:p>
      <w:pPr>
        <w:spacing w:before="0" w:after="280" w:line="322" w:lineRule="auto"/>
      </w:pPr>
      <w:r>
        <w:rPr>
          <w:rFonts w:ascii="Source Serif 4" w:hAnsi="Source Serif 4" w:eastAsia="Source Serif 4"/>
          <w:b w:val="0"/>
          <w:i w:val="0"/>
          <w:color w:val="1A2334"/>
          <w:sz w:val="22"/>
        </w:rPr>
        <w:t>En az üç iş adımı bulunan gerçek süreci seç. Bütün projeyi tek modele atama; sınanabilir yol tasarla.</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Adım ve etkileri ayır</w:t>
            </w:r>
          </w:p>
          <w:p>
            <w:pPr>
              <w:spacing w:line="300" w:lineRule="auto"/>
            </w:pPr>
            <w:r>
              <w:rPr>
                <w:rFonts w:ascii="Source Serif 4" w:hAnsi="Source Serif 4" w:eastAsia="Source Serif 4"/>
                <w:b w:val="0"/>
                <w:i w:val="0"/>
                <w:color w:val="354159"/>
                <w:sz w:val="21"/>
              </w:rPr>
              <w:t>Süreci ön işleme, üretim, doğrulama ve onaya böl. Her adımın olası etkisini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Veri ve yeteneği sınıflandır</w:t>
            </w:r>
          </w:p>
          <w:p>
            <w:pPr>
              <w:spacing w:line="300" w:lineRule="auto"/>
            </w:pPr>
            <w:r>
              <w:rPr>
                <w:rFonts w:ascii="Source Serif 4" w:hAnsi="Source Serif 4" w:eastAsia="Source Serif 4"/>
                <w:b w:val="0"/>
                <w:i w:val="0"/>
                <w:color w:val="354159"/>
                <w:sz w:val="21"/>
              </w:rPr>
              <w:t>Veri sınıfı, gereken model yeteneği, gecikme, maliyet ve doğrulanabilirliği ata.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Bölge ve devirleri tasarla</w:t>
            </w:r>
          </w:p>
          <w:p>
            <w:pPr>
              <w:spacing w:line="300" w:lineRule="auto"/>
            </w:pPr>
            <w:r>
              <w:rPr>
                <w:rFonts w:ascii="Source Serif 4" w:hAnsi="Source Serif 4" w:eastAsia="Source Serif 4"/>
                <w:b w:val="0"/>
                <w:i w:val="0"/>
                <w:color w:val="354159"/>
                <w:sz w:val="21"/>
              </w:rPr>
              <w:t>Her adımın bölgesini seç. Hangi bilginin sınırı geçtiğini ve nasıl azaltıldığını kesin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Geri dönüş ve azaltmayı planla</w:t>
            </w:r>
          </w:p>
          <w:p>
            <w:pPr>
              <w:spacing w:line="300" w:lineRule="auto"/>
            </w:pPr>
            <w:r>
              <w:rPr>
                <w:rFonts w:ascii="Source Serif 4" w:hAnsi="Source Serif 4" w:eastAsia="Source Serif 4"/>
                <w:b w:val="0"/>
                <w:i w:val="0"/>
                <w:color w:val="354159"/>
                <w:sz w:val="21"/>
              </w:rPr>
              <w:t>İki kesinti için güvenli yedek, azaltılmış çalışma kipi veya bilinçli duruş tanımla.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Taşınabilirliği test et</w:t>
            </w:r>
          </w:p>
          <w:p>
            <w:pPr>
              <w:spacing w:line="300" w:lineRule="auto"/>
            </w:pPr>
            <w:r>
              <w:rPr>
                <w:rFonts w:ascii="Source Serif 4" w:hAnsi="Source Serif 4" w:eastAsia="Source Serif 4"/>
                <w:b w:val="0"/>
                <w:i w:val="0"/>
                <w:color w:val="354159"/>
                <w:sz w:val="21"/>
              </w:rPr>
              <w:t>Alternatif model veya yeni adaptörün geçmesi gereken üç referans vaka ve ölçüt yaz.</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Gereğinden fazla veri aktardığım devir: 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Sürecimde hâlâ eksik olan güvenli geri dönüş: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