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line="283" w:lineRule="auto"/>
      </w:pPr>
      <w:r>
        <w:rPr>
          <w:rFonts w:ascii="Aptos" w:hAnsi="Aptos"/>
          <w:b/>
          <w:i w:val="0"/>
          <w:color w:val="4F7CFF"/>
          <w:sz w:val="18"/>
        </w:rPr>
        <w:t>FURKAN SAKIZLI  ·  AI DATA ENGINEERING</w:t>
      </w:r>
    </w:p>
    <w:p>
      <w:pPr>
        <w:spacing w:after="120" w:line="283" w:lineRule="auto"/>
      </w:pPr>
      <w:r>
        <w:rPr>
          <w:rFonts w:ascii="Aptos" w:hAnsi="Aptos"/>
          <w:b/>
          <w:i w:val="0"/>
          <w:color w:val="1A2334"/>
          <w:sz w:val="50"/>
        </w:rPr>
        <w:t>Graph'taki boşluk henüz bilgi değildir</w:t>
      </w:r>
    </w:p>
    <w:p>
      <w:pPr>
        <w:spacing w:after="160" w:line="283" w:lineRule="auto"/>
      </w:pPr>
      <w:r>
        <w:rPr>
          <w:rFonts w:ascii="Aptos" w:hAnsi="Aptos"/>
          <w:b w:val="0"/>
          <w:i w:val="0"/>
          <w:color w:val="637087"/>
          <w:sz w:val="25"/>
        </w:rPr>
        <w:t>Structural gap neden değerli research question üretir; fakat ancak counter-test, evidence ve provenance ile güvenilir olur?</w:t>
      </w:r>
    </w:p>
    <w:p>
      <w:pPr>
        <w:spacing w:after="280" w:line="283" w:lineRule="auto"/>
      </w:pPr>
      <w:r>
        <w:rPr>
          <w:rFonts w:ascii="Aptos" w:hAnsi="Aptos"/>
          <w:b/>
          <w:i w:val="0"/>
          <w:color w:val="4F7CFF"/>
          <w:sz w:val="17"/>
        </w:rPr>
        <w:t>DENEME · AI DATA ENGINEERING · 17 DK OKUMA  ·  Furkan Sakızlı</w:t>
      </w:r>
    </w:p>
    <w:p>
      <w:pPr>
        <w:spacing w:after="280"/>
        <w:jc w:val="center"/>
      </w:pPr>
      <w:r>
        <w:drawing>
          <wp:inline xmlns:a="http://schemas.openxmlformats.org/drawingml/2006/main" xmlns:pic="http://schemas.openxmlformats.org/drawingml/2006/picture">
            <wp:extent cx="6126480" cy="3447977"/>
            <wp:docPr id="1" name="Picture 1" title="Graph'taki boşluk henüz bilgi değildir" descr="Aydınlık bir alanda iki zarif mavi knowledge-graph community ayrı duruyor; noktalı mavi-amber candidate bridge empty structural gap'i geçerken transparent evidence card'lar verification için aşağıda ayrı tutuluyor."/>
            <wp:cNvGraphicFramePr>
              <a:graphicFrameLocks noChangeAspect="1"/>
            </wp:cNvGraphicFramePr>
            <a:graphic>
              <a:graphicData uri="http://schemas.openxmlformats.org/drawingml/2006/picture">
                <pic:pic>
                  <pic:nvPicPr>
                    <pic:cNvPr id="0" name="titelbild.png"/>
                    <pic:cNvPicPr/>
                  </pic:nvPicPr>
                  <pic:blipFill>
                    <a:blip r:embed="rId11"/>
                    <a:stretch>
                      <a:fillRect/>
                    </a:stretch>
                  </pic:blipFill>
                  <pic:spPr>
                    <a:xfrm>
                      <a:off x="0" y="0"/>
                      <a:ext cx="6126480" cy="3447977"/>
                    </a:xfrm>
                    <a:prstGeom prst="rect"/>
                  </pic:spPr>
                </pic:pic>
              </a:graphicData>
            </a:graphic>
          </wp:inline>
        </w:drawing>
      </w:r>
    </w:p>
    <w:tbl>
      <w:tblPr>
        <w:tblW w:type="auto" w:w="0"/>
        <w:jc w:val="center"/>
        <w:tblLayout w:type="fixed"/>
        <w:tblLook w:firstColumn="1" w:firstRow="1" w:lastColumn="0" w:lastRow="0" w:noHBand="0" w:noVBand="1" w:val="04A0"/>
      </w:tblPr>
      <w:tblGrid>
        <w:gridCol w:w="9504"/>
      </w:tblGrid>
      <w:tr>
        <w:trPr>
          <w:cantSplit/>
        </w:trPr>
        <w:tc>
          <w:tcPr>
            <w:tcW w:type="dxa" w:w="9648"/>
            <w:shd w:fill="EEF1F7"/>
            <w:tcMar>
              <w:top w:w="180" w:type="dxa"/>
              <w:start w:w="220" w:type="dxa"/>
              <w:bottom w:w="180" w:type="dxa"/>
              <w:end w:w="220" w:type="dxa"/>
            </w:tcMar>
          </w:tcPr>
          <w:p>
            <w:pPr>
              <w:spacing w:line="276" w:lineRule="auto"/>
            </w:pPr>
            <w:r>
              <w:rPr>
                <w:rFonts w:ascii="Georgia" w:hAnsi="Georgia"/>
                <w:b w:val="0"/>
                <w:i/>
                <w:color w:val="1A2334"/>
                <w:sz w:val="24"/>
              </w:rPr>
              <w:t>İki yoğun topic arasında güçlü bir idea bulunabilir. Aynı boşlukta data error, kötü segmentation veya gerçekten hiçbir defensible relation da bulunmayabilir.</w:t>
            </w:r>
          </w:p>
        </w:tc>
      </w:tr>
    </w:tbl>
    <w:p>
      <w:pPr>
        <w:spacing w:after="140" w:line="283" w:lineRule="auto"/>
      </w:pPr>
      <w:r>
        <w:rPr>
          <w:rFonts w:ascii="Aptos" w:hAnsi="Aptos"/>
          <w:b w:val="0"/>
          <w:i w:val="0"/>
          <w:color w:val="1A2334"/>
          <w:sz w:val="21"/>
        </w:rPr>
        <w:t>Graph, ranked list'in gizlediği bir özelliği görünür yapar: knowledge eşit dağılmaz. Bazı concept'ler dense community oluşturur, bazıları topic'ler arasında bridge olur, bazı gruplar arasında ise dikkat çekici bir empty space kalır. Structural gap değerlidir; çünkü mevcut material'ın doğal biçimde bağlamadığı alanlara dikkat çeker.</w:t>
      </w:r>
    </w:p>
    <w:p>
      <w:pPr>
        <w:spacing w:after="140" w:line="283" w:lineRule="auto"/>
      </w:pPr>
      <w:r>
        <w:rPr>
          <w:rFonts w:ascii="Aptos" w:hAnsi="Aptos"/>
          <w:b w:val="0"/>
          <w:i w:val="0"/>
          <w:color w:val="1A2334"/>
          <w:sz w:val="21"/>
        </w:rPr>
        <w:t>Fakat visualisation hızlı bir conclusion üretmeye davet eder: İki cluster ayrıysa aralarındaki connection yeni veya overlooked olmalıdır. Method tam burada başlar. Graph seçilen source, normalisation rule, relation definition ve threshold'ların sonucudur. Bu nedenle gap proof değildir. Precise ve falsifiable bir research question üretmek için signal'dır.</w:t>
      </w:r>
    </w:p>
    <w:p>
      <w:pPr>
        <w:keepNext/>
        <w:spacing w:before="320" w:after="120"/>
      </w:pPr>
      <w:r>
        <w:rPr>
          <w:rFonts w:ascii="Georgia" w:hAnsi="Georgia"/>
          <w:b/>
          <w:i w:val="0"/>
          <w:color w:val="1A2334"/>
          <w:sz w:val="32"/>
        </w:rPr>
        <w:t>Gap bir model içinde oluşur</w:t>
      </w:r>
    </w:p>
    <w:p>
      <w:pPr>
        <w:spacing w:after="140" w:line="283" w:lineRule="auto"/>
      </w:pPr>
      <w:r>
        <w:rPr>
          <w:rFonts w:ascii="Aptos" w:hAnsi="Aptos"/>
          <w:b w:val="0"/>
          <w:i w:val="0"/>
          <w:color w:val="1A2334"/>
          <w:sz w:val="21"/>
        </w:rPr>
        <w:t>Text network fiziksel bir object gibi keşfedilmez; construct edilir. Word veya entity node, co-occurrence ya da extracted relation edge olur. Stop-word list, lemmatisation, synonym rule, window size ve community algorithm network formunu değiştirir. Farklı spelling aynı concept'i iki node'a bölebilir. Dar pencere relation'ı silebilir; geniş pencere professional anlamı olmayan association üretebilir.</w:t>
      </w:r>
    </w:p>
    <w:p>
      <w:pPr>
        <w:spacing w:after="140" w:line="283" w:lineRule="auto"/>
      </w:pPr>
      <w:r>
        <w:rPr>
          <w:rFonts w:ascii="Aptos" w:hAnsi="Aptos"/>
          <w:b w:val="0"/>
          <w:i w:val="0"/>
          <w:color w:val="1A2334"/>
          <w:sz w:val="21"/>
        </w:rPr>
        <w:t>Interpretation bir model card ile başlamalıdır. Corpus, time span, source type, language rule, node/edge definition, weighting, filter ve algorithm version kayıt altına alınır. Bunlar yoksa visualisation etkileyici ama methodologically weak kalır. İlk soru “Bu gap ne anlama geliyor?” değil, “Hangi modelling decision onu görünür yaptı?” olmalıdır.</w:t>
      </w:r>
    </w:p>
    <w:p>
      <w:pPr>
        <w:keepNext/>
        <w:spacing w:before="320" w:after="120"/>
      </w:pPr>
      <w:r>
        <w:rPr>
          <w:rFonts w:ascii="Georgia" w:hAnsi="Georgia"/>
          <w:b/>
          <w:i w:val="0"/>
          <w:color w:val="1A2334"/>
          <w:sz w:val="32"/>
        </w:rPr>
        <w:t>Structural gap, content gap ve missing edge aynı değildir</w:t>
      </w:r>
    </w:p>
    <w:p>
      <w:pPr>
        <w:spacing w:after="140" w:line="283" w:lineRule="auto"/>
      </w:pPr>
      <w:r>
        <w:rPr>
          <w:rFonts w:ascii="Aptos" w:hAnsi="Aptos"/>
          <w:b w:val="0"/>
          <w:i w:val="0"/>
          <w:color w:val="1A2334"/>
          <w:sz w:val="21"/>
        </w:rPr>
        <w:t>Gap birkaç anlam taşır. Structural gap network region'ları arasındaki weak connection'dır. Content gap corpus içinde underrepresented topic veya perspective'tir. Missing edge ise graph'ta bulunmayan belirli bir relation'dır. Bu üç durum otomatik olarak eşitlenmemelidir.</w:t>
      </w:r>
    </w:p>
    <w:p>
      <w:pPr>
        <w:spacing w:after="140" w:line="283" w:lineRule="auto"/>
      </w:pPr>
      <w:r>
        <w:rPr>
          <w:rFonts w:ascii="Aptos" w:hAnsi="Aptos"/>
          <w:b w:val="0"/>
          <w:i w:val="0"/>
          <w:color w:val="1A2334"/>
          <w:sz w:val="21"/>
        </w:rPr>
        <w:t>Content gap gerçekten eksik bir konuya veya biased sampling'e dayanabilir. Missing edge henüz capture edilmemiş ilişkiyi ya da doğru bir absence'ı gösterebilir. Structural distance ise direct relation gerekmeyen community'ler arasındaki yararlı ayrımı koruyabilir. Precise terminology visual pattern'ın unsupported fact'e dönüşmesini engeller.</w:t>
      </w:r>
    </w:p>
    <w:p>
      <w:pPr>
        <w:keepNext/>
        <w:spacing w:before="320" w:after="120"/>
      </w:pPr>
      <w:r>
        <w:rPr>
          <w:rFonts w:ascii="Georgia" w:hAnsi="Georgia"/>
          <w:b/>
          <w:i w:val="0"/>
          <w:color w:val="1A2334"/>
          <w:sz w:val="32"/>
        </w:rPr>
        <w:t>Structural-holes theory bir analogy'dir</w:t>
      </w:r>
    </w:p>
    <w:p>
      <w:pPr>
        <w:spacing w:after="140" w:line="283" w:lineRule="auto"/>
      </w:pPr>
      <w:r>
        <w:rPr>
          <w:rFonts w:ascii="Aptos" w:hAnsi="Aptos"/>
          <w:b w:val="0"/>
          <w:i w:val="0"/>
          <w:color w:val="1A2334"/>
          <w:sz w:val="21"/>
        </w:rPr>
        <w:t>Ronald Burt'ün çalışmaları social network'leri inceler. Ayrı group'ları bağlayan kişi veya organisation farklı bilgiye erişebilir ve broker rolü oynayabilir. Bu yaklaşım group boundary dışındaki perspective'in neden değerli olabileceğini açıklar. Knowledge graph'a transfer edildiğinde productive bir analogy sunar: Her cluster içinde oluşmayan question iki topic arasında ortaya çıkabilir.</w:t>
      </w:r>
    </w:p>
    <w:p>
      <w:pPr>
        <w:spacing w:after="140" w:line="283" w:lineRule="auto"/>
      </w:pPr>
      <w:r>
        <w:rPr>
          <w:rFonts w:ascii="Aptos" w:hAnsi="Aptos"/>
          <w:b w:val="0"/>
          <w:i w:val="0"/>
          <w:color w:val="1A2334"/>
          <w:sz w:val="21"/>
        </w:rPr>
        <w:t>Ancak text graph social network değildir; word edge de human tie değildir. Transfer gerekçelendirilmelidir. Empty space yeni theory'nin doğru veya innovation'ın workable olduğunu kanıtlamaz. Sadece modelled data'nın bazı concept'leri nadiren birlikte temsil ettiğini gösterir. Mechanism, source ve counterexample incelendiğinde research başlar.</w:t>
      </w:r>
    </w:p>
    <w:p>
      <w:pPr>
        <w:keepNext/>
        <w:spacing w:before="320" w:after="120"/>
      </w:pPr>
      <w:r>
        <w:rPr>
          <w:rFonts w:ascii="Georgia" w:hAnsi="Georgia"/>
          <w:b/>
          <w:i w:val="0"/>
          <w:color w:val="1A2334"/>
          <w:sz w:val="32"/>
        </w:rPr>
        <w:t>InfraNodus exploration signal üretir</w:t>
      </w:r>
    </w:p>
    <w:p>
      <w:pPr>
        <w:spacing w:after="140" w:line="283" w:lineRule="auto"/>
      </w:pPr>
      <w:r>
        <w:rPr>
          <w:rFonts w:ascii="Aptos" w:hAnsi="Aptos"/>
          <w:b w:val="0"/>
          <w:i w:val="0"/>
          <w:color w:val="1A2334"/>
          <w:sz w:val="21"/>
        </w:rPr>
        <w:t>InfraNodus content-gap analysis'i knowledge graph visualisation, community detection ve weakly connected topic region incelemesi olarak belgeler. Bu bölgelerden research question veya idea üretilebilir. Methodological value hazır bir discovery değil, attention'ın structured biçimde yönlendirilmesidir.</w:t>
      </w:r>
    </w:p>
    <w:p>
      <w:pPr>
        <w:spacing w:after="140" w:line="283" w:lineRule="auto"/>
      </w:pPr>
      <w:r>
        <w:rPr>
          <w:rFonts w:ascii="Aptos" w:hAnsi="Aptos"/>
          <w:b w:val="0"/>
          <w:i w:val="0"/>
          <w:color w:val="1A2334"/>
          <w:sz w:val="21"/>
        </w:rPr>
        <w:t>Responsible system proposed bridge'in temelini de gösterir: community, influential concept, existing path, source coverage ve selection parameter. Graph-derived signal ile language-model wording ayrılır. Generated question bir sonraki investigation'ı önerir; investigation sonucu değildir.</w:t>
      </w:r>
    </w:p>
    <w:p>
      <w:pPr>
        <w:keepNext/>
        <w:spacing w:before="320" w:after="120"/>
      </w:pPr>
      <w:r>
        <w:rPr>
          <w:rFonts w:ascii="Georgia" w:hAnsi="Georgia"/>
          <w:b/>
          <w:i w:val="0"/>
          <w:color w:val="1A2334"/>
          <w:sz w:val="32"/>
        </w:rPr>
        <w:t>Missing connection'ın en az altı nedeni vardır</w:t>
      </w:r>
    </w:p>
    <w:p>
      <w:pPr>
        <w:spacing w:after="140" w:line="283" w:lineRule="auto"/>
      </w:pPr>
      <w:r>
        <w:rPr>
          <w:rFonts w:ascii="Aptos" w:hAnsi="Aptos"/>
          <w:b w:val="0"/>
          <w:i w:val="0"/>
          <w:color w:val="1A2334"/>
          <w:sz w:val="21"/>
        </w:rPr>
        <w:t>İki field gerçekten az birlikte çalışılmış olabilir. Source eksik olabilir. Aynı concept farklı terminology ile yazılmış olabilir. Parsing veya chunking relation'ı ayırmış olabilir. Filter rare fakat decisive term'i kaldırmış olabilir. Selected time range daha eski ya da daha yeni connection'ı gizlemiş olabilir.</w:t>
      </w:r>
    </w:p>
    <w:p>
      <w:pPr>
        <w:spacing w:after="140" w:line="283" w:lineRule="auto"/>
      </w:pPr>
      <w:r>
        <w:rPr>
          <w:rFonts w:ascii="Aptos" w:hAnsi="Aptos"/>
          <w:b w:val="0"/>
          <w:i w:val="0"/>
          <w:color w:val="1A2334"/>
          <w:sz w:val="21"/>
        </w:rPr>
        <w:t>Her neden farklı response gerektirir. Terminology gap için entity resolution, source gap için targeted research, temporal gap için versioning gerekir. Gerçek professional distance için hypothesis ve external evidence gerekir. Tek bir “close gap” işlemi bu ayrımları saklar.</w:t>
      </w:r>
    </w:p>
    <w:p>
      <w:pPr>
        <w:keepNext/>
        <w:spacing w:before="320" w:after="120"/>
      </w:pPr>
      <w:r>
        <w:rPr>
          <w:rFonts w:ascii="Georgia" w:hAnsi="Georgia"/>
          <w:b/>
          <w:i w:val="0"/>
          <w:color w:val="1A2334"/>
          <w:sz w:val="32"/>
        </w:rPr>
        <w:t>Link prediction bir forecast task'ıdır</w:t>
      </w:r>
    </w:p>
    <w:p>
      <w:pPr>
        <w:spacing w:after="140" w:line="283" w:lineRule="auto"/>
      </w:pPr>
      <w:r>
        <w:rPr>
          <w:rFonts w:ascii="Aptos" w:hAnsi="Aptos"/>
          <w:b w:val="0"/>
          <w:i w:val="0"/>
          <w:color w:val="1A2334"/>
          <w:sz w:val="21"/>
        </w:rPr>
        <w:t>Graph data science link prediction'ı machine-learning task olarak ele alır. Model adjacent ve non-adjacent node pair'lerinden hangi relation'ın probable olabileceğini öğrenir. Topological method common neighbour veya same-community signal kullanır; trained pipeline node ve edge feature ekleyebilir.</w:t>
      </w:r>
    </w:p>
    <w:p>
      <w:pPr>
        <w:spacing w:after="140" w:line="283" w:lineRule="auto"/>
      </w:pPr>
      <w:r>
        <w:rPr>
          <w:rFonts w:ascii="Aptos" w:hAnsi="Aptos"/>
          <w:b w:val="0"/>
          <w:i w:val="0"/>
          <w:color w:val="1A2334"/>
          <w:sz w:val="21"/>
        </w:rPr>
        <w:t>Output probability veya ranking'dir, fact değildir. Negative example zordur: Incomplete graph'ta “not connected” çoğu zaman yalnızca “not observed yet” demektir. Bu pair'ler true negative kabul edilirse model dataset omission'ını öğrenir. Defensible pipeline training graph, split strategy, feature version, metric, calibration ve threshold'u kaydeder. Suggested edge verify edilene kadar candidate kalır.</w:t>
      </w:r>
    </w:p>
    <w:p>
      <w:pPr>
        <w:keepNext/>
        <w:spacing w:before="320" w:after="120"/>
      </w:pPr>
      <w:r>
        <w:rPr>
          <w:rFonts w:ascii="Georgia" w:hAnsi="Georgia"/>
          <w:b/>
          <w:i w:val="0"/>
          <w:color w:val="1A2334"/>
          <w:sz w:val="32"/>
        </w:rPr>
        <w:t>Counterexample elegant bridge'den daha değerlidir</w:t>
      </w:r>
    </w:p>
    <w:p>
      <w:pPr>
        <w:spacing w:after="140" w:line="283" w:lineRule="auto"/>
      </w:pPr>
      <w:r>
        <w:rPr>
          <w:rFonts w:ascii="Aptos" w:hAnsi="Aptos"/>
          <w:b w:val="0"/>
          <w:i w:val="0"/>
          <w:color w:val="1A2334"/>
          <w:sz w:val="21"/>
        </w:rPr>
        <w:t>Innovative hypothesis tanıdık alanları yeni narrative ile bağladığı için ikna edici görünür. Bu nedenle active counter-path gerekir. Her bridge için synonym'in gap üretip üretmediği, source'un relation'ı reject edip etmediği, connection'ın region/time/population ile sınırlı olup olmadığı ve graph'ın correlation ile mechanism'ı karıştırıp karıştırmadığı sorulur.</w:t>
      </w:r>
    </w:p>
    <w:p>
      <w:pPr>
        <w:spacing w:after="140" w:line="283" w:lineRule="auto"/>
      </w:pPr>
      <w:r>
        <w:rPr>
          <w:rFonts w:ascii="Aptos" w:hAnsi="Aptos"/>
          <w:b w:val="0"/>
          <w:i w:val="0"/>
          <w:color w:val="1A2334"/>
          <w:sz w:val="21"/>
        </w:rPr>
        <w:t>En güçlü test sadece supporting passage toplamaz. Candidate'i falsify eden veya scope'u daraltan evidence arar. Testten geçen hypothesis güçlenir. Reject edilen hypothesis de değerlidir; attractive visualisation'ın false decision üretmesini engeller.</w:t>
      </w:r>
    </w:p>
    <w:p>
      <w:pPr>
        <w:keepNext/>
        <w:spacing w:before="320" w:after="120"/>
      </w:pPr>
      <w:r>
        <w:rPr>
          <w:rFonts w:ascii="Georgia" w:hAnsi="Georgia"/>
          <w:b/>
          <w:i w:val="0"/>
          <w:color w:val="1A2334"/>
          <w:sz w:val="32"/>
        </w:rPr>
        <w:t>GraphRAG investigation'ı organize eder</w:t>
      </w:r>
    </w:p>
    <w:p>
      <w:pPr>
        <w:spacing w:after="140" w:line="283" w:lineRule="auto"/>
      </w:pPr>
      <w:r>
        <w:rPr>
          <w:rFonts w:ascii="Aptos" w:hAnsi="Aptos"/>
          <w:b w:val="0"/>
          <w:i w:val="0"/>
          <w:color w:val="1A2334"/>
          <w:sz w:val="21"/>
        </w:rPr>
        <w:t>GraphRAG specific entity için local question ile corpus-wide global question'ı ayırır. DRIFT Search global entry point'i local follow-up ile birleştirir. Gap verification için bu yapı uygundur: Global Search dominant community ve narrative'i belirler; Local Search candidate bridge çevresindeki entity, relation ve source passage'ı inceler.</w:t>
      </w:r>
    </w:p>
    <w:p>
      <w:pPr>
        <w:spacing w:after="140" w:line="283" w:lineRule="auto"/>
      </w:pPr>
      <w:r>
        <w:rPr>
          <w:rFonts w:ascii="Aptos" w:hAnsi="Aptos"/>
          <w:b w:val="0"/>
          <w:i w:val="0"/>
          <w:color w:val="1A2334"/>
          <w:sz w:val="21"/>
        </w:rPr>
        <w:t>Graph answer'ı belirlemez, investigation'ı structure eder. Raw text, passage ve metadata evidence layer olarak kalır. Community report ve automatically extracted relation derived artefact'tır ve açıkça label edilmelidir. Claim primary source'tan uzaklaştıkça provenance ve uncertainty daha kritik olur.</w:t>
      </w:r>
    </w:p>
    <w:p>
      <w:pPr>
        <w:keepNext/>
        <w:spacing w:before="320" w:after="120"/>
      </w:pPr>
      <w:r>
        <w:rPr>
          <w:rFonts w:ascii="Georgia" w:hAnsi="Georgia"/>
          <w:b/>
          <w:i w:val="0"/>
          <w:color w:val="1A2334"/>
          <w:sz w:val="32"/>
        </w:rPr>
        <w:t>Provenance idea'yı testable claim'e dönüştürür</w:t>
      </w:r>
    </w:p>
    <w:p>
      <w:pPr>
        <w:spacing w:after="140" w:line="283" w:lineRule="auto"/>
      </w:pPr>
      <w:r>
        <w:rPr>
          <w:rFonts w:ascii="Aptos" w:hAnsi="Aptos"/>
          <w:b w:val="0"/>
          <w:i w:val="0"/>
          <w:color w:val="1A2334"/>
          <w:sz w:val="21"/>
        </w:rPr>
        <w:t>Candidate edge sadece endpoint içermez. Rationale, graph signal, supporting ve conflicting source, timestamp, model/prompt version, reviewer ve status gerekir. Proposed, researching, partially supported, rejected, confirmed ve stale gibi state'ler yararlıdır.</w:t>
      </w:r>
    </w:p>
    <w:p>
      <w:pPr>
        <w:spacing w:after="140" w:line="283" w:lineRule="auto"/>
      </w:pPr>
      <w:r>
        <w:rPr>
          <w:rFonts w:ascii="Aptos" w:hAnsi="Aptos"/>
          <w:b w:val="0"/>
          <w:i w:val="0"/>
          <w:color w:val="1A2334"/>
          <w:sz w:val="21"/>
        </w:rPr>
        <w:t>Bu separation gap analysis'in creative değerini korur. Idea status görünür olduğu sürece speculative olabilir. Spekulation knowledge base, recommendation veya automated decision'a sessizce girerse riskli olur. Evidence ledger her transition'ı reviewable ve reversible yapar.</w:t>
      </w:r>
    </w:p>
    <w:p>
      <w:pPr>
        <w:keepNext/>
        <w:spacing w:before="320" w:after="120"/>
      </w:pPr>
      <w:r>
        <w:rPr>
          <w:rFonts w:ascii="Georgia" w:hAnsi="Georgia"/>
          <w:b/>
          <w:i w:val="0"/>
          <w:color w:val="1A2334"/>
          <w:sz w:val="32"/>
        </w:rPr>
        <w:t>Evaluation predictive accuracy'den fazlasını ölçer</w:t>
      </w:r>
    </w:p>
    <w:p>
      <w:pPr>
        <w:spacing w:after="140" w:line="283" w:lineRule="auto"/>
      </w:pPr>
      <w:r>
        <w:rPr>
          <w:rFonts w:ascii="Aptos" w:hAnsi="Aptos"/>
          <w:b w:val="0"/>
          <w:i w:val="0"/>
          <w:color w:val="1A2334"/>
          <w:sz w:val="21"/>
        </w:rPr>
        <w:t>Precision, recall ve ranking metric önemlidir. Fakat knowledge work relation'ın professionally meaningful, novel, actionable ve traceable olup olmadığını da sorar. Result topic, language, time range ve node type'a göre slice edilmelidir. Güçlü average küçük community'lerdeki systematic failure'ı gizleyebilir.</w:t>
      </w:r>
    </w:p>
    <w:p>
      <w:pPr>
        <w:spacing w:after="140" w:line="283" w:lineRule="auto"/>
      </w:pPr>
      <w:r>
        <w:rPr>
          <w:rFonts w:ascii="Aptos" w:hAnsi="Aptos"/>
          <w:b w:val="0"/>
          <w:i w:val="0"/>
          <w:color w:val="1A2334"/>
          <w:sz w:val="21"/>
        </w:rPr>
        <w:t>Baseline comparison şarttır. Graph proposal common neighbour, semantic similarity veya expert keyword search'ten daha iyi mi? Kaç candidate defensible finding olur ve ne kadar review cost üretir? Information gain, false alarm ve verification cost arasındaki ilişki ekonomik değeri gösterir.</w:t>
      </w:r>
    </w:p>
    <w:p>
      <w:pPr>
        <w:keepNext/>
        <w:spacing w:before="320" w:after="120"/>
      </w:pPr>
      <w:r>
        <w:rPr>
          <w:rFonts w:ascii="Georgia" w:hAnsi="Georgia"/>
          <w:b/>
          <w:i w:val="0"/>
          <w:color w:val="1A2334"/>
          <w:sz w:val="32"/>
        </w:rPr>
        <w:t>Method: OBSERVE → EXPLAIN → CHALLENGE → RETRIEVE → VERIFY → STATUS</w:t>
      </w:r>
    </w:p>
    <w:p>
      <w:pPr>
        <w:spacing w:after="140" w:line="283" w:lineRule="auto"/>
      </w:pPr>
      <w:r>
        <w:rPr>
          <w:rFonts w:ascii="Aptos" w:hAnsi="Aptos"/>
          <w:b w:val="0"/>
          <w:i w:val="0"/>
          <w:color w:val="1A2334"/>
          <w:sz w:val="21"/>
        </w:rPr>
        <w:t>“OBSERVE” visible gap'i interpretation olmadan açıklar. “EXPLAIN” technical ve professional cause'ları listeler. “CHALLENGE” counter-hypothesis ve failure condition yazar. “RETRIEVE” supporting ve conflicting evidence toplar. “VERIFY” source, mechanism ve scope'u değerlendirir. “STATUS” sonucu Evidence Ledger'a kaydeder.</w:t>
      </w:r>
    </w:p>
    <w:p>
      <w:pPr>
        <w:spacing w:after="140" w:line="283" w:lineRule="auto"/>
      </w:pPr>
      <w:r>
        <w:rPr>
          <w:rFonts w:ascii="Aptos" w:hAnsi="Aptos"/>
          <w:b w:val="0"/>
          <w:i w:val="0"/>
          <w:color w:val="1A2334"/>
          <w:sz w:val="21"/>
        </w:rPr>
        <w:t>Bu method structural gap'in creative power'ını ve defensible data work disiplinini birlikte korur. Graph linear reading'in gizlediği question'ı sorabilir. Answer'ı ise evidence ile kazanmalıdır.</w:t>
      </w:r>
    </w:p>
    <w:p>
      <w:pPr>
        <w:keepNext/>
        <w:spacing w:before="320" w:after="120"/>
      </w:pPr>
      <w:r>
        <w:rPr>
          <w:rFonts w:ascii="Georgia" w:hAnsi="Georgia"/>
          <w:b/>
          <w:i w:val="0"/>
          <w:color w:val="1A2334"/>
          <w:sz w:val="32"/>
        </w:rPr>
        <w:t>Exercise: Structural Gap Evidence Ledger oluştur</w:t>
      </w:r>
    </w:p>
    <w:p>
      <w:pPr>
        <w:spacing w:after="140" w:line="283" w:lineRule="auto"/>
      </w:pPr>
      <w:r>
        <w:rPr>
          <w:rFonts w:ascii="Aptos" w:hAnsi="Aptos"/>
          <w:b w:val="0"/>
          <w:i w:val="0"/>
          <w:color w:val="1A2334"/>
          <w:sz w:val="21"/>
        </w:rPr>
        <w:t>İki community arasındaki bir conspicuous gap seç. Önce neutral description yaz. En az biri data/modelling failure olmak üzere üç alternative cause kaydet. Candidate bridge ve counter-hypothesis oluştur. İki supporting ve iki conflicting source passage bul. Ancak bundan sonra status ver ve hangi additional evidence'ın kararı değiştireceğini yaz.</w:t>
      </w:r>
    </w:p>
    <w:p>
      <w:pPr>
        <w:keepNext/>
        <w:spacing w:before="320" w:after="120"/>
      </w:pPr>
      <w:r>
        <w:rPr>
          <w:rFonts w:ascii="Georgia" w:hAnsi="Georgia"/>
          <w:b/>
          <w:i w:val="0"/>
          <w:color w:val="1A2334"/>
          <w:sz w:val="32"/>
        </w:rPr>
        <w:t>Kaynaklar ve mesleki kapsam</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[InfraNodus: Content Gap Analysis](https://infranodus.com/docs/content-gap-analysis) – knowledge graph, community ve weakly connected topic region kullanan documented workflow.</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[InfraNodus: Network Analysis](https://infranodus.com/docs/network-analysis) – network metric, cluster ve structural gap analysis araçları.</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[InfraNodus: Structural Gaps FAQ](https://infranodus.com/docs/faq) – gap signal ve calculation logic açıklaması.</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[Burt: Structural Holes and Good Ideas](https://www.bebr.ufl.edu/sites/default/files/Burt%20-%202004%20-%20Structural%20Holes%20and%20Good%20Ideas.pdf) – group'lar arası brokerage ve information advantage araştırması.</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[Neo4j GDS: Link Prediction Pipelines](https://www.neo4j.com/docs/graph-data-science/current/machine-learning/linkprediction-pipelines/link-prediction/) – trainable forecast task olarak link prediction.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[Microsoft GraphRAG: Query Overview](https://microsoft.github.io/graphrag/query/overview/) – Local, Global, DRIFT ve diğer query mode'ları.</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[Microsoft GraphRAG: DRIFT Search](https://microsoft.github.io/graphrag/query/drift_search/) – global orientation ile local follow-up question birleşimi.</w:t>
      </w:r>
    </w:p>
    <w:p>
      <w:pPr>
        <w:spacing w:after="140" w:line="283" w:lineRule="auto"/>
      </w:pPr>
      <w:r>
        <w:rPr>
          <w:rFonts w:ascii="Aptos" w:hAnsi="Aptos"/>
          <w:b w:val="0"/>
          <w:i w:val="0"/>
          <w:color w:val="1A2334"/>
          <w:sz w:val="21"/>
        </w:rPr>
        <w:t>*Kapsam:* Structural gap, link-prediction score ve generated bridge hypothesis/search signal'dır. Primary evidence ve professional review yerine geçmez. Editoryal inceleme: 17 Temmuz 2026.</w:t>
      </w:r>
    </w:p>
    <w:p>
      <w:r>
        <w:br w:type="page"/>
      </w:r>
    </w:p>
    <w:p>
      <w:pPr>
        <w:keepNext/>
        <w:spacing w:before="320" w:after="120"/>
      </w:pPr>
      <w:r>
        <w:rPr>
          <w:rFonts w:ascii="Georgia" w:hAnsi="Georgia"/>
          <w:b/>
          <w:i w:val="0"/>
          <w:color w:val="1A2334"/>
          <w:sz w:val="32"/>
        </w:rPr>
        <w:t>Çalışma şablonu: Structural Gap Evidence Ledger</w:t>
      </w:r>
    </w:p>
    <w:tbl>
      <w:tblPr>
        <w:tblW w:type="auto" w:w="0"/>
        <w:jc w:val="center"/>
        <w:tblLayout w:type="fixed"/>
        <w:tblLook w:firstColumn="1" w:firstRow="1" w:lastColumn="0" w:lastRow="0" w:noHBand="0" w:noVBand="1" w:val="04A0"/>
      </w:tblPr>
      <w:tblGrid>
        <w:gridCol w:w="3384"/>
        <w:gridCol w:w="6120"/>
      </w:tblGrid>
      <w:tr>
        <w:trPr>
          <w:cantSplit/>
        </w:trPr>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Alan</w:t>
            </w:r>
          </w:p>
        </w:tc>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Kayıt</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Graph / version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Observed gap</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Alternative cause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Candidate bridge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Counter-hypothesis</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Supporting / conflicting evidence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Status / next test</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bl>
    <w:sectPr w:rsidR="00FC693F" w:rsidRPr="0006063C" w:rsidSect="00034616">
      <w:headerReference w:type="default" r:id="rId9"/>
      <w:footerReference w:type="default" r:id="rId10"/>
      <w:pgSz w:w="12240" w:h="15840"/>
      <w:pgMar w:top="1123" w:right="1296" w:bottom="1123"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i w:val="0"/>
        <w:color w:val="637087"/>
        <w:sz w:val="16"/>
      </w:rPr>
      <w:t>Graph'taki boşluk henüz bilgi değildir</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637087"/>
        <w:sz w:val="17"/>
      </w:rPr>
      <w:t>FURKAN SAKIZLI  ·  AI DATA ENGINEERING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