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CE işareti AI quality garantisi değildir</w:t>
      </w:r>
    </w:p>
    <w:p>
      <w:pPr>
        <w:spacing w:after="160" w:line="283" w:lineRule="auto"/>
      </w:pPr>
      <w:r>
        <w:rPr>
          <w:rFonts w:ascii="Aptos" w:hAnsi="Aptos"/>
          <w:b w:val="0"/>
          <w:i w:val="0"/>
          <w:color w:val="637087"/>
          <w:sz w:val="25"/>
        </w:rPr>
        <w:t>Conformity assessment, EU declaration of conformity, CE marking ve registration gerçekte neyi gösterir; operational quality neden hâlâ evidence ister?</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CE işareti AI quality garantisi değildir" descr="Aydınlık modüler AI component ve document card'lar mavi CE assessment path boyunca şeffaf conformity gate'ten geçiyor; path arkada amber control point'ler içeren continuous monitoring landscape'e uzanı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CE marking, belirli bir system için applicable requirement'lara conformity beyan edildiğini söyler. System'ın en iyi, hatasız veya bir authority tarafından önerilmiş olduğunu söylemez.</w:t>
            </w:r>
          </w:p>
        </w:tc>
      </w:tr>
    </w:tbl>
    <w:p>
      <w:pPr>
        <w:spacing w:after="140" w:line="283" w:lineRule="auto"/>
      </w:pPr>
      <w:r>
        <w:rPr>
          <w:rFonts w:ascii="Aptos" w:hAnsi="Aptos"/>
          <w:b w:val="0"/>
          <w:i w:val="0"/>
          <w:color w:val="1A2334"/>
          <w:sz w:val="21"/>
        </w:rPr>
        <w:t>European product environment içinde CE kadar geniş yorumlanan az symbol vardır. Product presentation bunu quality seal, safety certificate veya official approval gibi sunabilir. AI system'larda bu shortcut tehlikelidir. Legal market access, technical performance ve responsible operation üç ayrı sorudur.</w:t>
      </w:r>
    </w:p>
    <w:p>
      <w:pPr>
        <w:spacing w:after="140" w:line="283" w:lineRule="auto"/>
      </w:pPr>
      <w:r>
        <w:rPr>
          <w:rFonts w:ascii="Aptos" w:hAnsi="Aptos"/>
          <w:b w:val="0"/>
          <w:i w:val="0"/>
          <w:color w:val="1A2334"/>
          <w:sz w:val="21"/>
        </w:rPr>
        <w:t>EU AI Act conformity logic; classification, requirement, evidence, assessment, declaration, marking, registration ve monitoring'i birbirine bağlar. Görünür işaret process'in son noktasıdır; process'in yerine geçmez. CE'yi anlamak, arkasındaki görünmeyen evidence chain'i okuyabilmek demektir.</w:t>
      </w:r>
    </w:p>
    <w:p>
      <w:pPr>
        <w:keepNext/>
        <w:spacing w:before="320" w:after="120"/>
      </w:pPr>
      <w:r>
        <w:rPr>
          <w:rFonts w:ascii="Georgia" w:hAnsi="Georgia"/>
          <w:b/>
          <w:i w:val="0"/>
          <w:color w:val="1A2334"/>
          <w:sz w:val="32"/>
        </w:rPr>
        <w:t>Önce use case ve roller sınıflandırılır</w:t>
      </w:r>
    </w:p>
    <w:p>
      <w:pPr>
        <w:spacing w:after="140" w:line="283" w:lineRule="auto"/>
      </w:pPr>
      <w:r>
        <w:rPr>
          <w:rFonts w:ascii="Aptos" w:hAnsi="Aptos"/>
          <w:b w:val="0"/>
          <w:i w:val="0"/>
          <w:color w:val="1A2334"/>
          <w:sz w:val="21"/>
        </w:rPr>
        <w:t>Her değerlendirme system, intended purpose ve role ile başlar. Her AI application high-risk AI system değildir. Her organisation otomatik olarak provider sayılmaz. Technical veya commercial change, responsibility dağılımını değiştirebilir.</w:t>
      </w:r>
    </w:p>
    <w:p>
      <w:pPr>
        <w:spacing w:after="140" w:line="283" w:lineRule="auto"/>
      </w:pPr>
      <w:r>
        <w:rPr>
          <w:rFonts w:ascii="Aptos" w:hAnsi="Aptos"/>
          <w:b w:val="0"/>
          <w:i w:val="0"/>
          <w:color w:val="1A2334"/>
          <w:sz w:val="21"/>
        </w:rPr>
        <w:t>Sağlam bir classification; system boundary, intended purpose, user, affected person, decision influence, product-process integration ve her actor'ın rolünü kaydeder. Assumption ve unresolved question'lar da görünür kalır. Tek başına model adı yeterli değildir: aynı foundation model düşük etkili writing aid içinde veya önemli kararları etkileyen bir system içinde kullanılabilir.</w:t>
      </w:r>
    </w:p>
    <w:p>
      <w:pPr>
        <w:spacing w:after="140" w:line="283" w:lineRule="auto"/>
      </w:pPr>
      <w:r>
        <w:rPr>
          <w:rFonts w:ascii="Aptos" w:hAnsi="Aptos"/>
          <w:b w:val="0"/>
          <w:i w:val="0"/>
          <w:color w:val="1A2334"/>
          <w:sz w:val="21"/>
        </w:rPr>
        <w:t>Classification versioned olmalıdır. Purpose expansion, own trademark altında placement veya substantial modification yeni değerlendirme başlatabilir. Bu nedenle classification record kalıcı etiket değil, review trigger içeren yaşayan bir kayıttır.</w:t>
      </w:r>
    </w:p>
    <w:p>
      <w:pPr>
        <w:keepNext/>
        <w:spacing w:before="320" w:after="120"/>
      </w:pPr>
      <w:r>
        <w:rPr>
          <w:rFonts w:ascii="Georgia" w:hAnsi="Georgia"/>
          <w:b/>
          <w:i w:val="0"/>
          <w:color w:val="1A2334"/>
          <w:sz w:val="32"/>
        </w:rPr>
        <w:t>Provider bir responsibility role'dür</w:t>
      </w:r>
    </w:p>
    <w:p>
      <w:pPr>
        <w:spacing w:after="140" w:line="283" w:lineRule="auto"/>
      </w:pPr>
      <w:r>
        <w:rPr>
          <w:rFonts w:ascii="Aptos" w:hAnsi="Aptos"/>
          <w:b w:val="0"/>
          <w:i w:val="0"/>
          <w:color w:val="1A2334"/>
          <w:sz w:val="21"/>
        </w:rPr>
        <w:t>Provider yalnızca base model'i yazan şirket demek değildir. Kimin AI system geliştirdiği veya geliştirilmesini sağladığı ve own name/trademark altında market'e sunduğu ya da service'e aldığı önemlidir. Integrator ve product company de value chain içinde provider rolüne geçebilir.</w:t>
      </w:r>
    </w:p>
    <w:p>
      <w:pPr>
        <w:spacing w:after="140" w:line="283" w:lineRule="auto"/>
      </w:pPr>
      <w:r>
        <w:rPr>
          <w:rFonts w:ascii="Aptos" w:hAnsi="Aptos"/>
          <w:b w:val="0"/>
          <w:i w:val="0"/>
          <w:color w:val="1A2334"/>
          <w:sz w:val="21"/>
        </w:rPr>
        <w:t>Madde 25; own name veya trademark ile supply, substantial modification ve intended purpose'ı değiştirerek system'ı high-risk hâle getirme gibi durumları kapsar. Böyle bir actor yalnızca upstream provider'ı gösteremez. Agreement'lar gerekli information, technical access ve cooperation'ı sağlamalı; aynı zamanda intellectual property ve trade secret korunmalıdır.</w:t>
      </w:r>
    </w:p>
    <w:p>
      <w:pPr>
        <w:spacing w:after="140" w:line="283" w:lineRule="auto"/>
      </w:pPr>
      <w:r>
        <w:rPr>
          <w:rFonts w:ascii="Aptos" w:hAnsi="Aptos"/>
          <w:b w:val="0"/>
          <w:i w:val="0"/>
          <w:color w:val="1A2334"/>
          <w:sz w:val="21"/>
        </w:rPr>
        <w:t>RACI chart tek başına yetmez. Accountable role evidence'a erişmeli, test budget'ına sahip olmalı ve release ya da operation'ı durdurabilmelidir.</w:t>
      </w:r>
    </w:p>
    <w:p>
      <w:pPr>
        <w:keepNext/>
        <w:spacing w:before="320" w:after="120"/>
      </w:pPr>
      <w:r>
        <w:rPr>
          <w:rFonts w:ascii="Georgia" w:hAnsi="Georgia"/>
          <w:b/>
          <w:i w:val="0"/>
          <w:color w:val="1A2334"/>
          <w:sz w:val="32"/>
        </w:rPr>
        <w:t>Conformity assessment tek certificate değil, bir procedure'dır</w:t>
      </w:r>
    </w:p>
    <w:p>
      <w:pPr>
        <w:spacing w:after="140" w:line="283" w:lineRule="auto"/>
      </w:pPr>
      <w:r>
        <w:rPr>
          <w:rFonts w:ascii="Aptos" w:hAnsi="Aptos"/>
          <w:b w:val="0"/>
          <w:i w:val="0"/>
          <w:color w:val="1A2334"/>
          <w:sz w:val="21"/>
        </w:rPr>
        <w:t>Madde 43 farklı conformity-assessment route'ları tanımlar. Uygulanacak route system category ve ilgili koşullara bağlıdır. Notified body her zaman zorunlu olmadığı gibi her zaman dışarıda da değildir. “CE yalnız self-declaration'dır” ve “CE her zaman independent certification'dır” cümlelerinin ikisi de güvenilmezdir.</w:t>
      </w:r>
    </w:p>
    <w:p>
      <w:pPr>
        <w:spacing w:after="140" w:line="283" w:lineRule="auto"/>
      </w:pPr>
      <w:r>
        <w:rPr>
          <w:rFonts w:ascii="Aptos" w:hAnsi="Aptos"/>
          <w:b w:val="0"/>
          <w:i w:val="0"/>
          <w:color w:val="1A2334"/>
          <w:sz w:val="21"/>
        </w:rPr>
        <w:t>Internal assessment self-exemption değildir. Applicable requirement control'e çevrilmeli, test edilmeli, review edilmeli ve document edilmelidir. Third party katıldığında bile provider responsibility ortadan kalkmaz. External assessment belirli mandate, system ve documentation baseline içinde yapılır.</w:t>
      </w:r>
    </w:p>
    <w:p>
      <w:pPr>
        <w:spacing w:after="140" w:line="283" w:lineRule="auto"/>
      </w:pPr>
      <w:r>
        <w:rPr>
          <w:rFonts w:ascii="Aptos" w:hAnsi="Aptos"/>
          <w:b w:val="0"/>
          <w:i w:val="0"/>
          <w:color w:val="1A2334"/>
          <w:sz w:val="21"/>
        </w:rPr>
        <w:t>İlk operational output bir Conformity Route Record'dur: legal basis, system category, standard/specification, participating body, required artefact, sequence ve release criterion.</w:t>
      </w:r>
    </w:p>
    <w:p>
      <w:pPr>
        <w:keepNext/>
        <w:spacing w:before="320" w:after="120"/>
      </w:pPr>
      <w:r>
        <w:rPr>
          <w:rFonts w:ascii="Georgia" w:hAnsi="Georgia"/>
          <w:b/>
          <w:i w:val="0"/>
          <w:color w:val="1A2334"/>
          <w:sz w:val="32"/>
        </w:rPr>
        <w:t>Self-assessment de güçlü evidence ister</w:t>
      </w:r>
    </w:p>
    <w:p>
      <w:pPr>
        <w:spacing w:after="140" w:line="283" w:lineRule="auto"/>
      </w:pPr>
      <w:r>
        <w:rPr>
          <w:rFonts w:ascii="Aptos" w:hAnsi="Aptos"/>
          <w:b w:val="0"/>
          <w:i w:val="0"/>
          <w:color w:val="1A2334"/>
          <w:sz w:val="21"/>
        </w:rPr>
        <w:t>İyi assessment bir traceability matrix ile yönetilir. Her applicable requirement identifier alır ve system claim, technical/organisational control, test method, observed result, owner ve deviation decision ile bağlanır.</w:t>
      </w:r>
    </w:p>
    <w:p>
      <w:pPr>
        <w:spacing w:after="140" w:line="283" w:lineRule="auto"/>
      </w:pPr>
      <w:r>
        <w:rPr>
          <w:rFonts w:ascii="Aptos" w:hAnsi="Aptos"/>
          <w:b w:val="0"/>
          <w:i w:val="0"/>
          <w:color w:val="1A2334"/>
          <w:sz w:val="21"/>
        </w:rPr>
        <w:t>Chain şöyledir: Requirement → Claim → Control → Test → Result → Decision. Eksik halka compliance theatre üretir. Requirement'sız test relevance açıklamaz. Operational signal'sız policy uygulamayı kanıtlamaz. Intended purpose context'i olmayan model benchmark bütün AI system'ın uygunluğunu göstermez.</w:t>
      </w:r>
    </w:p>
    <w:p>
      <w:pPr>
        <w:spacing w:after="140" w:line="283" w:lineRule="auto"/>
      </w:pPr>
      <w:r>
        <w:rPr>
          <w:rFonts w:ascii="Aptos" w:hAnsi="Aptos"/>
          <w:b w:val="0"/>
          <w:i w:val="0"/>
          <w:color w:val="1A2334"/>
          <w:sz w:val="21"/>
        </w:rPr>
        <w:t>Negative evidence silinmez. Limitation, correction, accepted residual risk veya stop decision'a bağlanır. Team'in counter-evidence ile ne yaptığı, checklist'teki yeşil hücre sayısından daha güçlü maturity göstergesidir.</w:t>
      </w:r>
    </w:p>
    <w:p>
      <w:pPr>
        <w:keepNext/>
        <w:spacing w:before="320" w:after="120"/>
      </w:pPr>
      <w:r>
        <w:rPr>
          <w:rFonts w:ascii="Georgia" w:hAnsi="Georgia"/>
          <w:b/>
          <w:i w:val="0"/>
          <w:color w:val="1A2334"/>
          <w:sz w:val="32"/>
        </w:rPr>
        <w:t>Technical documentation gerçek system'ı anlatmalıdır</w:t>
      </w:r>
    </w:p>
    <w:p>
      <w:pPr>
        <w:spacing w:after="140" w:line="283" w:lineRule="auto"/>
      </w:pPr>
      <w:r>
        <w:rPr>
          <w:rFonts w:ascii="Aptos" w:hAnsi="Aptos"/>
          <w:b w:val="0"/>
          <w:i w:val="0"/>
          <w:color w:val="1A2334"/>
          <w:sz w:val="21"/>
        </w:rPr>
        <w:t>Conformity file biçimsel olarak complete görünüp idealised architecture anlatabilir. Documentation, market'e sunulan veya service'e alınan gerçek configuration ile eşleşmelidir: model ve prompt version, data source, retrieval corpus, tool, threshold, interface, oversight, logging, security measure ve dependency.</w:t>
      </w:r>
    </w:p>
    <w:p>
      <w:pPr>
        <w:spacing w:after="140" w:line="283" w:lineRule="auto"/>
      </w:pPr>
      <w:r>
        <w:rPr>
          <w:rFonts w:ascii="Aptos" w:hAnsi="Aptos"/>
          <w:b w:val="0"/>
          <w:i w:val="0"/>
          <w:color w:val="1A2334"/>
          <w:sz w:val="21"/>
        </w:rPr>
        <w:t>Her assessment frozen Evidence Snapshot'a bağlanır. Hash, artefact identifier ve validity period, claim'i reproducible state ile eşleştirir. Dynamic component için controlled change range ve retest trigger gerekir; screenshot onu stable yapmaz.</w:t>
      </w:r>
    </w:p>
    <w:p>
      <w:pPr>
        <w:spacing w:after="140" w:line="283" w:lineRule="auto"/>
      </w:pPr>
      <w:r>
        <w:rPr>
          <w:rFonts w:ascii="Aptos" w:hAnsi="Aptos"/>
          <w:b w:val="0"/>
          <w:i w:val="0"/>
          <w:color w:val="1A2334"/>
          <w:sz w:val="21"/>
        </w:rPr>
        <w:t>Dossier PDF klasörü değil, navigable graph olmalıdır. Deployed version'dan purpose, requirement, control, test, result, release decision ve daha sonraki change'e gidilebilmelidir.</w:t>
      </w:r>
    </w:p>
    <w:p>
      <w:pPr>
        <w:keepNext/>
        <w:spacing w:before="320" w:after="120"/>
      </w:pPr>
      <w:r>
        <w:rPr>
          <w:rFonts w:ascii="Georgia" w:hAnsi="Georgia"/>
          <w:b/>
          <w:i w:val="0"/>
          <w:color w:val="1A2334"/>
          <w:sz w:val="32"/>
        </w:rPr>
        <w:t>EU declaration of conformity responsibility atar</w:t>
      </w:r>
    </w:p>
    <w:p>
      <w:pPr>
        <w:spacing w:after="140" w:line="283" w:lineRule="auto"/>
      </w:pPr>
      <w:r>
        <w:rPr>
          <w:rFonts w:ascii="Aptos" w:hAnsi="Aptos"/>
          <w:b w:val="0"/>
          <w:i w:val="0"/>
          <w:color w:val="1A2334"/>
          <w:sz w:val="21"/>
        </w:rPr>
        <w:t>Madde 47 ilgili system için EU declaration of conformity hazırlanmasını ve uygun biçimde güncel tutulmasını ister. Provider bu declaration ile applicable requirement'ların karşılandığına dair responsibility üstlenir. Document; system, provider, relevant legislation ve gerekli diğer bilgileri tanımlar. Marketing copy değildir.</w:t>
      </w:r>
    </w:p>
    <w:p>
      <w:pPr>
        <w:spacing w:after="140" w:line="283" w:lineRule="auto"/>
      </w:pPr>
      <w:r>
        <w:rPr>
          <w:rFonts w:ascii="Aptos" w:hAnsi="Aptos"/>
          <w:b w:val="0"/>
          <w:i w:val="0"/>
          <w:color w:val="1A2334"/>
          <w:sz w:val="21"/>
        </w:rPr>
        <w:t>Declaration önceki evidence work'ü özetler; missing test, inconsistent version veya unresolved deviation'ı iyileştiremez. Signature öncesi Readiness Review şu soruları sorar: System ve scope açık mı? Her duty ele alındı mı? Technical documentation, test status ve released version eşleşiyor mu? Deviation'lar decision-ready mi? Signatory authorised ve yeterince informed mı?</w:t>
      </w:r>
    </w:p>
    <w:p>
      <w:pPr>
        <w:keepNext/>
        <w:spacing w:before="320" w:after="120"/>
      </w:pPr>
      <w:r>
        <w:rPr>
          <w:rFonts w:ascii="Georgia" w:hAnsi="Georgia"/>
          <w:b/>
          <w:i w:val="0"/>
          <w:color w:val="1A2334"/>
          <w:sz w:val="32"/>
        </w:rPr>
        <w:t>CE precise fakat sınırlı bir claim'dir</w:t>
      </w:r>
    </w:p>
    <w:p>
      <w:pPr>
        <w:spacing w:after="140" w:line="283" w:lineRule="auto"/>
      </w:pPr>
      <w:r>
        <w:rPr>
          <w:rFonts w:ascii="Aptos" w:hAnsi="Aptos"/>
          <w:b w:val="0"/>
          <w:i w:val="0"/>
          <w:color w:val="1A2334"/>
          <w:sz w:val="21"/>
        </w:rPr>
        <w:t>Madde 48 CE marking'i high-risk AI system'ın conformity'si ile ilişkilendirir. Digital system için digital marking mümkün olabilir; visibility ve identification kuralları devam eder. Symbol, belirli bir product veya system için legal conformity claim iletişimidir.</w:t>
      </w:r>
    </w:p>
    <w:p>
      <w:pPr>
        <w:spacing w:after="140" w:line="283" w:lineRule="auto"/>
      </w:pPr>
      <w:r>
        <w:rPr>
          <w:rFonts w:ascii="Aptos" w:hAnsi="Aptos"/>
          <w:b w:val="0"/>
          <w:i w:val="0"/>
          <w:color w:val="1A2334"/>
          <w:sz w:val="21"/>
        </w:rPr>
        <w:t>CE tek başına şunları kanıtlamaz:</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authority endorsement veya her test'in authority tarafından yapılması,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her durumda independent body katılımı,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error-free operation, universal fitness veya zero risk,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provider'ın üstün ethics, innovation ya da financial stability'si,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future modification ve her real-world use'un original assessment içinde kalması.</w:t>
      </w:r>
    </w:p>
    <w:p>
      <w:pPr>
        <w:spacing w:after="140" w:line="283" w:lineRule="auto"/>
      </w:pPr>
      <w:r>
        <w:rPr>
          <w:rFonts w:ascii="Aptos" w:hAnsi="Aptos"/>
          <w:b w:val="0"/>
          <w:i w:val="0"/>
          <w:color w:val="1A2334"/>
          <w:sz w:val="21"/>
        </w:rPr>
        <w:t>Bu sınırlar CE'nin zayıflığı değildir; anlamını korur. Sorun sales language'ın bounded legal claim'i genel trust veya excellence promise'e dönüştürmesidir.</w:t>
      </w:r>
    </w:p>
    <w:p>
      <w:pPr>
        <w:keepNext/>
        <w:spacing w:before="320" w:after="120"/>
      </w:pPr>
      <w:r>
        <w:rPr>
          <w:rFonts w:ascii="Georgia" w:hAnsi="Georgia"/>
          <w:b/>
          <w:i w:val="0"/>
          <w:color w:val="1A2334"/>
          <w:sz w:val="32"/>
        </w:rPr>
        <w:t>Registration ayrı bir control point'tir</w:t>
      </w:r>
    </w:p>
    <w:p>
      <w:pPr>
        <w:spacing w:after="140" w:line="283" w:lineRule="auto"/>
      </w:pPr>
      <w:r>
        <w:rPr>
          <w:rFonts w:ascii="Aptos" w:hAnsi="Aptos"/>
          <w:b w:val="0"/>
          <w:i w:val="0"/>
          <w:color w:val="1A2334"/>
          <w:sz w:val="21"/>
        </w:rPr>
        <w:t>Madde 49 ilgili high-risk AI system'lar için EU database registration duty'leri öngörür. Registration ve CE bağlantılıdır fakat aynı şey değildir. Mark database entry'nin, entry de assessment'ın yerine geçmez.</w:t>
      </w:r>
    </w:p>
    <w:p>
      <w:pPr>
        <w:spacing w:after="140" w:line="283" w:lineRule="auto"/>
      </w:pPr>
      <w:r>
        <w:rPr>
          <w:rFonts w:ascii="Aptos" w:hAnsi="Aptos"/>
          <w:b w:val="0"/>
          <w:i w:val="0"/>
          <w:color w:val="1A2334"/>
          <w:sz w:val="21"/>
        </w:rPr>
        <w:t>Registration Record; system identity, accountable party, status, required field, date, reference ve update rule içerir. Publication öncesi consistency ve confidentiality review yapılır. Gönderilen bilgiler technical documentation ve gerçekten supplied version ile eşleşmelidir.</w:t>
      </w:r>
    </w:p>
    <w:p>
      <w:pPr>
        <w:spacing w:after="140" w:line="283" w:lineRule="auto"/>
      </w:pPr>
      <w:r>
        <w:rPr>
          <w:rFonts w:ascii="Aptos" w:hAnsi="Aptos"/>
          <w:b w:val="0"/>
          <w:i w:val="0"/>
          <w:color w:val="1A2334"/>
          <w:sz w:val="21"/>
        </w:rPr>
        <w:t>Complex product başka European product regime'lerine de tabi olabilir. Birden fazla procedure tek vague compliance claim içine sıkıştırılmaz. Compliance Mapping her regime için subject, owner, route ve evidence gösterir.</w:t>
      </w:r>
    </w:p>
    <w:p>
      <w:pPr>
        <w:keepNext/>
        <w:spacing w:before="320" w:after="120"/>
      </w:pPr>
      <w:r>
        <w:rPr>
          <w:rFonts w:ascii="Georgia" w:hAnsi="Georgia"/>
          <w:b/>
          <w:i w:val="0"/>
          <w:color w:val="1A2334"/>
          <w:sz w:val="32"/>
        </w:rPr>
        <w:t>Change mevcut claim'i geçersiz kılabilir</w:t>
      </w:r>
    </w:p>
    <w:p>
      <w:pPr>
        <w:spacing w:after="140" w:line="283" w:lineRule="auto"/>
      </w:pPr>
      <w:r>
        <w:rPr>
          <w:rFonts w:ascii="Aptos" w:hAnsi="Aptos"/>
          <w:b w:val="0"/>
          <w:i w:val="0"/>
          <w:color w:val="1A2334"/>
          <w:sz w:val="21"/>
        </w:rPr>
        <w:t>Market access sonrası system sabit kalmaz. Model değiştirilir, tool yeni permission alır, data source değişir ve customer feature'ı yeni process'te kullanır. Assessed baseline, interface değişmeden terk edilebilir.</w:t>
      </w:r>
    </w:p>
    <w:p>
      <w:pPr>
        <w:spacing w:after="140" w:line="283" w:lineRule="auto"/>
      </w:pPr>
      <w:r>
        <w:rPr>
          <w:rFonts w:ascii="Aptos" w:hAnsi="Aptos"/>
          <w:b w:val="0"/>
          <w:i w:val="0"/>
          <w:color w:val="1A2334"/>
          <w:sz w:val="21"/>
        </w:rPr>
        <w:t>Change Gate; purpose, role, risk classification, requirement, test, documentation, declaration, marking ve registration'ı birlikte inceler. Substantial modification ve intended-purpose change özel dikkat ister. Rebranding veya başka bir system'ı own name altında sunmak da responsibility'yi değiştirebilir.</w:t>
      </w:r>
    </w:p>
    <w:p>
      <w:pPr>
        <w:spacing w:after="140" w:line="283" w:lineRule="auto"/>
      </w:pPr>
      <w:r>
        <w:rPr>
          <w:rFonts w:ascii="Aptos" w:hAnsi="Aptos"/>
          <w:b w:val="0"/>
          <w:i w:val="0"/>
          <w:color w:val="1A2334"/>
          <w:sz w:val="21"/>
        </w:rPr>
        <w:t>Release sorusu yalnızca “Build çalışıyor mu?” değildir. Asıl soru “Existing conformity claim bu build için hâlâ geçerli mi?” olur. Cevap verilene kadar release sınırlandırılır veya block edilir.</w:t>
      </w:r>
    </w:p>
    <w:p>
      <w:pPr>
        <w:keepNext/>
        <w:spacing w:before="320" w:after="120"/>
      </w:pPr>
      <w:r>
        <w:rPr>
          <w:rFonts w:ascii="Georgia" w:hAnsi="Georgia"/>
          <w:b/>
          <w:i w:val="0"/>
          <w:color w:val="1A2334"/>
          <w:sz w:val="32"/>
        </w:rPr>
        <w:t>Market access evidence work'ü bitirmez</w:t>
      </w:r>
    </w:p>
    <w:p>
      <w:pPr>
        <w:spacing w:after="140" w:line="283" w:lineRule="auto"/>
      </w:pPr>
      <w:r>
        <w:rPr>
          <w:rFonts w:ascii="Aptos" w:hAnsi="Aptos"/>
          <w:b w:val="0"/>
          <w:i w:val="0"/>
          <w:color w:val="1A2334"/>
          <w:sz w:val="21"/>
        </w:rPr>
        <w:t>Madde 72 high-risk AI system için lifetime boyunca active ve systematic post-market monitoring ister. CE completion stamp değildir. Operational data, complaint, incident, drift ve change original assumption'ları doğrulayabilir veya çürütebilir.</w:t>
      </w:r>
    </w:p>
    <w:p>
      <w:pPr>
        <w:spacing w:after="140" w:line="283" w:lineRule="auto"/>
      </w:pPr>
      <w:r>
        <w:rPr>
          <w:rFonts w:ascii="Aptos" w:hAnsi="Aptos"/>
          <w:b w:val="0"/>
          <w:i w:val="0"/>
          <w:color w:val="1A2334"/>
          <w:sz w:val="21"/>
        </w:rPr>
        <w:t>Monitoring her deployed version'ı signal ve threshold ile bağlar. Signal bir system claim'i etkilerse triage, corrective action ve effectiveness verification başlar. Serious issue limitation, disabling, withdrawal veya reporting gerektirebilir. Launch sonrası update edilmeyen conformity file yaşayan system'ı anlatmayı bırakır.</w:t>
      </w:r>
    </w:p>
    <w:p>
      <w:pPr>
        <w:spacing w:after="140" w:line="283" w:lineRule="auto"/>
      </w:pPr>
      <w:r>
        <w:rPr>
          <w:rFonts w:ascii="Aptos" w:hAnsi="Aptos"/>
          <w:b w:val="0"/>
          <w:i w:val="0"/>
          <w:color w:val="1A2334"/>
          <w:sz w:val="21"/>
        </w:rPr>
        <w:t>Quality conformity'den daha geniştir. Conforming system başka bir alternative'den daha az accurate, usable veya efficient olabilir. Quality management; utility, robustness, fairness, maintainability ve user experience'ı intended purpose'a göre ölçer. Compliance boundary belirler; product quality bu sınırlar içindeki fitness ve value'yu belirler.</w:t>
      </w:r>
    </w:p>
    <w:p>
      <w:pPr>
        <w:keepNext/>
        <w:spacing w:before="320" w:after="120"/>
      </w:pPr>
      <w:r>
        <w:rPr>
          <w:rFonts w:ascii="Georgia" w:hAnsi="Georgia"/>
          <w:b/>
          <w:i w:val="0"/>
          <w:color w:val="1A2334"/>
          <w:sz w:val="32"/>
        </w:rPr>
        <w:t>Product communication için promise test</w:t>
      </w:r>
    </w:p>
    <w:p>
      <w:pPr>
        <w:spacing w:after="140" w:line="283" w:lineRule="auto"/>
      </w:pPr>
      <w:r>
        <w:rPr>
          <w:rFonts w:ascii="Aptos" w:hAnsi="Aptos"/>
          <w:b w:val="0"/>
          <w:i w:val="0"/>
          <w:color w:val="1A2334"/>
          <w:sz w:val="21"/>
        </w:rPr>
        <w:t>“Certified”, “authority-approved”, “safe”, “trusted” veya “fully compliant” içeren her claim publication öncesi parçalanır: Hangi system? Hangi version? Hangi requirement? Hangi route? Hangi body? Hangi scope? Hangi date? Hangi exception?</w:t>
      </w:r>
    </w:p>
    <w:p>
      <w:pPr>
        <w:spacing w:after="140" w:line="283" w:lineRule="auto"/>
      </w:pPr>
      <w:r>
        <w:rPr>
          <w:rFonts w:ascii="Aptos" w:hAnsi="Aptos"/>
          <w:b w:val="0"/>
          <w:i w:val="0"/>
          <w:color w:val="1A2334"/>
          <w:sz w:val="21"/>
        </w:rPr>
        <w:t>Cevap evidence ile gösterilemiyorsa wording daraltılır. Precise communication, belirli system için conformity assessment yapıldığını, declaration hazırlandığını ve CE marking uygulandığını söyleyebilir. Her output'un doğru veya future use'un izinli olduğu sonucunu çıkaramaz.</w:t>
      </w:r>
    </w:p>
    <w:p>
      <w:pPr>
        <w:spacing w:after="140" w:line="283" w:lineRule="auto"/>
      </w:pPr>
      <w:r>
        <w:rPr>
          <w:rFonts w:ascii="Aptos" w:hAnsi="Aptos"/>
          <w:b w:val="0"/>
          <w:i w:val="0"/>
          <w:color w:val="1A2334"/>
          <w:sz w:val="21"/>
        </w:rPr>
        <w:t>Bu discipline buyer, provider ve adviser'ı korur. Legal olarak tanımlanmış symbol'ün uydurma quality badge'e dönüşmesini engeller.</w:t>
      </w:r>
    </w:p>
    <w:p>
      <w:pPr>
        <w:keepNext/>
        <w:spacing w:before="320" w:after="120"/>
      </w:pPr>
      <w:r>
        <w:rPr>
          <w:rFonts w:ascii="Georgia" w:hAnsi="Georgia"/>
          <w:b/>
          <w:i w:val="0"/>
          <w:color w:val="1A2334"/>
          <w:sz w:val="32"/>
        </w:rPr>
        <w:t>Yöntem: CLASSIFY → EVIDENCE → ASSESS → DECLARE → REGISTER → MONITOR</w:t>
      </w:r>
    </w:p>
    <w:p>
      <w:pPr>
        <w:spacing w:after="140" w:line="283" w:lineRule="auto"/>
      </w:pPr>
      <w:r>
        <w:rPr>
          <w:rFonts w:ascii="Aptos" w:hAnsi="Aptos"/>
          <w:b w:val="0"/>
          <w:i w:val="0"/>
          <w:color w:val="1A2334"/>
          <w:sz w:val="21"/>
        </w:rPr>
        <w:t>**CLASSIFY** system, purpose, risk ve role'leri belirler. **EVIDENCE** requirement'ı control, test ve result ile bağlar. **ASSESS** doğru route'u yürütür ve deviation'ı karara bağlar. **DECLARE** accountable conformity conclusion'ı açıklar. **REGISTER** gerekli market transparency'yi sağlar. **MONITOR** claim'in operation ve change altında geçerli kalıp kalmadığını kontrol eder.</w:t>
      </w:r>
    </w:p>
    <w:p>
      <w:pPr>
        <w:spacing w:after="140" w:line="283" w:lineRule="auto"/>
      </w:pPr>
      <w:r>
        <w:rPr>
          <w:rFonts w:ascii="Aptos" w:hAnsi="Aptos"/>
          <w:b w:val="0"/>
          <w:i w:val="0"/>
          <w:color w:val="1A2334"/>
          <w:sz w:val="21"/>
        </w:rPr>
        <w:t>Sıralama önemlidir. Mark ile başlamak symbol management üretir. Classification ve evidence ile başlamak defensible market access üretir.</w:t>
      </w:r>
    </w:p>
    <w:p>
      <w:pPr>
        <w:keepNext/>
        <w:spacing w:before="320" w:after="120"/>
      </w:pPr>
      <w:r>
        <w:rPr>
          <w:rFonts w:ascii="Georgia" w:hAnsi="Georgia"/>
          <w:b/>
          <w:i w:val="0"/>
          <w:color w:val="1A2334"/>
          <w:sz w:val="32"/>
        </w:rPr>
        <w:t>Çalışma sayfası: Market-Access Evidence Map oluştur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boundary, intended purpose, version ve tüm actor role'lerini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Risk class ve conformity route'u gerekçelendir; uncertainty'leri işaretle.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Sekiz applicable requirement seç; her birini control, test, result ve owner ile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Technical documentation ile gerçek product configuration'ın eşleştiğini doğrula.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Declaration, marking ve registration için Readiness Review tasarla.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Model, purpose veya trademark change simüle et; hangi adımların tekrarlanacağını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Accurate product statement yaz ve unsupported quality claim'leri çıkar.</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Bu review sonrası CE hakkında hangi claim'i artık kullanmazsın? _____________________________________________</w:t>
      </w:r>
    </w:p>
    <w:p>
      <w:pPr>
        <w:spacing w:after="140" w:line="283" w:lineRule="auto"/>
      </w:pPr>
      <w:r>
        <w:rPr>
          <w:rFonts w:ascii="Aptos" w:hAnsi="Aptos"/>
          <w:b w:val="0"/>
          <w:i w:val="0"/>
          <w:color w:val="1A2334"/>
          <w:sz w:val="21"/>
        </w:rPr>
        <w:t>Bugünkü conformity claim'i yarın hangi change geçersiz kılabilir? 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16](https://ai-act-service-desk.ec.europa.eu/en/ai-act/article-16) – high-risk AI system provider duty'leri: conformity assessment, declaration, marking, registration ve corrective action.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25](https://ai-act-service-desk.ec.europa.eu/en/ai-act/article-25) – AI value chain içindeki responsibility ve başka bir aktörün provider hâline geldiği koşullar.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43](https://ai-act-service-desk.ec.europa.eu/en/ai-act/article-43) – farklı conformity-assessment route'ları; third-party katılımı her route için zorunlu değildir.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47](https://ai-act-service-desk.ec.europa.eu/en/ai-act/article-47) – her system için EU declaration of conformity ve provider'ın responsibility üstlenmesi.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48](https://ai-act-service-desk.ec.europa.eu/en/ai-act/article-48) – high-risk AI system için CE marking'in anlamı ve uygulanması.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49](https://ai-act-service-desk.ec.europa.eu/en/ai-act/article-49) – ilgili high-risk AI system'ların EU database registration duty'leri.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72](https://ai-act-service-desk.ec.europa.eu/en/ai-act/article-72) – lifetime boyunca active ve systematic post-market monitoring.</w:t>
      </w:r>
    </w:p>
    <w:p>
      <w:pPr>
        <w:spacing w:after="140" w:line="283" w:lineRule="auto"/>
      </w:pPr>
      <w:r>
        <w:rPr>
          <w:rFonts w:ascii="Aptos" w:hAnsi="Aptos"/>
          <w:b w:val="0"/>
          <w:i w:val="0"/>
          <w:color w:val="1A2334"/>
          <w:sz w:val="21"/>
        </w:rPr>
        <w:t>*Kapsam:* Bu makale profesyonel conformity-evidence model açıklar; hukuk danışmanlığı değildir. Bir system'ın high-risk olup olmadığı, hangi procedure'ın uygulanacağı ve ek product, sectoral, data-protection, employment veya national rule'lar somut kullanım için ayrıca değerlendirilmelidir. Editoryal inceleme: 17 Temmuz 2026.</w:t>
      </w:r>
    </w:p>
    <w:p>
      <w:r>
        <w:br w:type="page"/>
      </w:r>
    </w:p>
    <w:p>
      <w:pPr>
        <w:keepNext/>
        <w:spacing w:before="320" w:after="120"/>
      </w:pPr>
      <w:r>
        <w:rPr>
          <w:rFonts w:ascii="Georgia" w:hAnsi="Georgia"/>
          <w:b/>
          <w:i w:val="0"/>
          <w:color w:val="1A2334"/>
          <w:sz w:val="32"/>
        </w:rPr>
        <w:t>Çalışma şablonu: Market-Access Evidence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purpose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Role / risk class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Requirement / claim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Control / 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Result / deviation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Declaration / CE / register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Change / monitoring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CE işareti AI quality garantisi değildir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