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YAZI · YAPAY ZEKÂ VE İŞ</w:t>
      </w:r>
    </w:p>
    <w:p>
      <w:pPr>
        <w:spacing w:after="160" w:line="235" w:lineRule="auto"/>
      </w:pPr>
      <w:r>
        <w:rPr>
          <w:rFonts w:ascii="Fraunces" w:hAnsi="Fraunces" w:eastAsia="Fraunces"/>
          <w:b/>
          <w:i w:val="0"/>
          <w:color w:val="1A2334"/>
          <w:sz w:val="56"/>
        </w:rPr>
        <w:t>Hiçbir ana komut iyi bir veri temelinin yerini tutmaz</w:t>
      </w:r>
    </w:p>
    <w:p>
      <w:pPr>
        <w:spacing w:after="340" w:line="293" w:lineRule="auto"/>
      </w:pPr>
      <w:r>
        <w:rPr>
          <w:rFonts w:ascii="Source Serif 4" w:hAnsi="Source Serif 4" w:eastAsia="Source Serif 4"/>
          <w:b w:val="0"/>
          <w:i/>
          <w:color w:val="637087"/>
          <w:sz w:val="26"/>
        </w:rPr>
        <w:t>Daha iyi sonuçların neden çoğu kez daha iyi malzemelerle başladığı.</w:t>
      </w:r>
    </w:p>
    <w:p>
      <w:pPr>
        <w:spacing w:after="420"/>
      </w:pPr>
      <w:r>
        <w:rPr>
          <w:rFonts w:ascii="IBM Plex Mono" w:hAnsi="IBM Plex Mono" w:eastAsia="IBM Plex Mono"/>
          <w:b w:val="0"/>
          <w:i w:val="0"/>
          <w:color w:val="4F7CFF"/>
          <w:sz w:val="17"/>
        </w:rPr>
        <w:t>7 DK. OKUMA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Yapay zekâ bir görevi hızlıca formüle edebilir. Ancak hangi belge sürümünün geçerli olduğunu, hangi kararın önceden verildiğini veya hangi kaynağın projede gerçekten önemli olduğunu bilemez. Bu bağlam mevcut olmalı ve senin de yeniden bulabileceğin biçimde düzenlenmelidir.</w:t>
            </w:r>
          </w:p>
        </w:tc>
      </w:tr>
    </w:tbl>
    <w:p>
      <w:pPr>
        <w:spacing w:before="360" w:after="140"/>
      </w:pPr>
      <w:r>
        <w:rPr>
          <w:rFonts w:ascii="Fraunces" w:hAnsi="Fraunces" w:eastAsia="Fraunces"/>
          <w:b/>
          <w:i w:val="0"/>
          <w:color w:val="1A2334"/>
          <w:sz w:val="36"/>
        </w:rPr>
        <w:t>Komut düzenler, veri temellendirir</w:t>
      </w:r>
    </w:p>
    <w:p>
      <w:pPr>
        <w:spacing w:before="0" w:after="160" w:line="322" w:lineRule="auto"/>
      </w:pPr>
      <w:r>
        <w:rPr>
          <w:rFonts w:ascii="Source Serif 4" w:hAnsi="Source Serif 4" w:eastAsia="Source Serif 4"/>
          <w:b w:val="0"/>
          <w:i w:val="0"/>
          <w:color w:val="1A2334"/>
          <w:sz w:val="22"/>
        </w:rPr>
        <w:t>Komut yön verebilir. Öz notlardan, kararlardan, örneklerden, sayılardan, metinlerden ve kaynaklardan gelir. Bu temel yoksa yanıt iyi duyulabilir ama projenin gerçekliğini ıskalayabilir.</w:t>
      </w:r>
    </w:p>
    <w:p>
      <w:pPr>
        <w:spacing w:before="0" w:after="160" w:line="322" w:lineRule="auto"/>
      </w:pPr>
      <w:r>
        <w:rPr>
          <w:rFonts w:ascii="Source Serif 4" w:hAnsi="Source Serif 4" w:eastAsia="Source Serif 4"/>
          <w:b w:val="0"/>
          <w:i w:val="0"/>
          <w:color w:val="1A2334"/>
          <w:sz w:val="22"/>
        </w:rPr>
        <w:t>Amaç her şeyi toplamak değildir. Doğru şeyleri bulunabilir kılmaktır.</w:t>
      </w:r>
    </w:p>
    <w:p>
      <w:pPr>
        <w:spacing w:before="360" w:after="140"/>
      </w:pPr>
      <w:r>
        <w:rPr>
          <w:rFonts w:ascii="Fraunces" w:hAnsi="Fraunces" w:eastAsia="Fraunces"/>
          <w:b/>
          <w:i w:val="0"/>
          <w:color w:val="1A2334"/>
          <w:sz w:val="36"/>
        </w:rPr>
        <w:t>Her yüklemeden önce dört soru</w:t>
      </w:r>
    </w:p>
    <w:p>
      <w:pPr>
        <w:spacing w:before="0" w:after="160" w:line="322" w:lineRule="auto"/>
      </w:pPr>
      <w:r>
        <w:rPr>
          <w:rFonts w:ascii="Source Serif 4" w:hAnsi="Source Serif 4" w:eastAsia="Source Serif 4"/>
          <w:b w:val="0"/>
          <w:i w:val="0"/>
          <w:color w:val="1A2334"/>
          <w:sz w:val="22"/>
        </w:rPr>
        <w:t>Malzeme güncel mi? Kökeni açık mı? Bu görev için ilgili mi? Bu bağlamda kullanılabilir mi? Bu sorular eski, yabancı veya uygun olmayan bir dosyanın fark edilmeden temele dönüşmesini önler.</w:t>
      </w:r>
    </w:p>
    <w:p>
      <w:pPr>
        <w:spacing w:before="0" w:after="160" w:line="322" w:lineRule="auto"/>
      </w:pPr>
      <w:r>
        <w:rPr>
          <w:rFonts w:ascii="Source Serif 4" w:hAnsi="Source Serif 4" w:eastAsia="Source Serif 4"/>
          <w:b w:val="0"/>
          <w:i w:val="0"/>
          <w:color w:val="1A2334"/>
          <w:sz w:val="22"/>
        </w:rPr>
        <w:t>Bir dosyanın yanındaki kısa not başka bir uzun komuttan daha fazla kalite katabilir.</w:t>
      </w:r>
    </w:p>
    <w:p>
      <w:pPr>
        <w:spacing w:before="360" w:after="140"/>
      </w:pPr>
      <w:r>
        <w:rPr>
          <w:rFonts w:ascii="Fraunces" w:hAnsi="Fraunces" w:eastAsia="Fraunces"/>
          <w:b/>
          <w:i w:val="0"/>
          <w:color w:val="1A2334"/>
          <w:sz w:val="36"/>
        </w:rPr>
        <w:t>Arşivden çalışma hafızasına</w:t>
      </w:r>
    </w:p>
    <w:p>
      <w:pPr>
        <w:spacing w:before="0" w:after="160" w:line="322" w:lineRule="auto"/>
      </w:pPr>
      <w:r>
        <w:rPr>
          <w:rFonts w:ascii="Source Serif 4" w:hAnsi="Source Serif 4" w:eastAsia="Source Serif 4"/>
          <w:b w:val="0"/>
          <w:i w:val="0"/>
          <w:color w:val="1A2334"/>
          <w:sz w:val="22"/>
        </w:rPr>
        <w:t>İyi proje klasörü ham malzemeyi, kontrol edilmiş kararları ve bitmiş sonuçları ayırır. Açık adlar ve kısa notlar bir dosyanın neden önemli olduğunu anlatır. Böylece kişi ya da yapay zekâ her belgeyi okumadan projenin durumunu anlayabilir.</w:t>
      </w:r>
    </w:p>
    <w:p>
      <w:pPr>
        <w:spacing w:before="0" w:after="160" w:line="322" w:lineRule="auto"/>
      </w:pPr>
      <w:r>
        <w:rPr>
          <w:rFonts w:ascii="Source Serif 4" w:hAnsi="Source Serif 4" w:eastAsia="Source Serif 4"/>
          <w:b w:val="0"/>
          <w:i w:val="0"/>
          <w:color w:val="1A2334"/>
          <w:sz w:val="22"/>
        </w:rPr>
        <w:t>Kalite şunu söyleyebildiğinde başlar: Bu kaynak, bu karar, bu ise hâlâ açık.</w:t>
      </w:r>
    </w:p>
    <w:p>
      <w:pPr>
        <w:spacing w:before="360" w:after="140"/>
      </w:pPr>
      <w:r>
        <w:rPr>
          <w:rFonts w:ascii="Fraunces" w:hAnsi="Fraunces" w:eastAsia="Fraunces"/>
          <w:b/>
          <w:i w:val="0"/>
          <w:color w:val="1A2334"/>
          <w:sz w:val="36"/>
        </w:rPr>
        <w:t>Her proje için küçük veri kartı</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VERİ KARTI</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**Amaç**</w:t>
            </w:r>
          </w:p>
          <w:p>
            <w:pPr>
              <w:spacing w:after="40"/>
            </w:pPr>
            <w:r>
              <w:rPr>
                <w:rFonts w:ascii="IBM Plex Mono" w:hAnsi="IBM Plex Mono" w:eastAsia="IBM Plex Mono"/>
                <w:b w:val="0"/>
                <w:i w:val="0"/>
                <w:color w:val="27334A"/>
                <w:sz w:val="17"/>
              </w:rPr>
              <w:t>Bu malzemeler … için yardımcı olur.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**Güvenilir kaynaklar**</w:t>
            </w:r>
          </w:p>
          <w:p>
            <w:pPr>
              <w:spacing w:after="40"/>
            </w:pPr>
            <w:r>
              <w:rPr>
                <w:rFonts w:ascii="IBM Plex Mono" w:hAnsi="IBM Plex Mono" w:eastAsia="IBM Plex Mono"/>
                <w:b w:val="0"/>
                <w:i w:val="0"/>
                <w:color w:val="27334A"/>
                <w:sz w:val="17"/>
              </w:rPr>
              <w:t>Esas dosyalar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**Durum**</w:t>
            </w:r>
          </w:p>
          <w:p>
            <w:pPr>
              <w:spacing w:after="40"/>
            </w:pPr>
            <w:r>
              <w:rPr>
                <w:rFonts w:ascii="IBM Plex Mono" w:hAnsi="IBM Plex Mono" w:eastAsia="IBM Plex Mono"/>
                <w:b w:val="0"/>
                <w:i w:val="0"/>
                <w:color w:val="27334A"/>
                <w:sz w:val="17"/>
              </w:rPr>
              <w:t>Son kontrol: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**Açık noktalar**</w:t>
            </w:r>
          </w:p>
          <w:p>
            <w:pPr>
              <w:spacing w:after="40"/>
            </w:pPr>
            <w:r>
              <w:rPr>
                <w:rFonts w:ascii="IBM Plex Mono" w:hAnsi="IBM Plex Mono" w:eastAsia="IBM Plex Mono"/>
                <w:b w:val="0"/>
                <w:i w:val="0"/>
                <w:color w:val="27334A"/>
                <w:sz w:val="17"/>
              </w:rPr>
              <w:t>Hâlâ netleştirilecek: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**Sınır**</w:t>
            </w:r>
          </w:p>
          <w:p>
            <w:pPr>
              <w:spacing w:after="40"/>
            </w:pPr>
            <w:r>
              <w:rPr>
                <w:rFonts w:ascii="IBM Plex Mono" w:hAnsi="IBM Plex Mono" w:eastAsia="IBM Plex Mono"/>
                <w:b w:val="0"/>
                <w:i w:val="0"/>
                <w:color w:val="27334A"/>
                <w:sz w:val="17"/>
              </w:rPr>
              <w:t>Kullanma veya paylaşma: …</w:t>
            </w:r>
          </w:p>
        </w:tc>
      </w:tr>
    </w:tbl>
    <w:p>
      <w:pPr>
        <w:spacing w:before="240" w:after="280" w:line="322" w:lineRule="auto"/>
      </w:pPr>
      <w:r>
        <w:rPr>
          <w:rFonts w:ascii="Source Serif 4" w:hAnsi="Source Serif 4" w:eastAsia="Source Serif 4"/>
          <w:b w:val="0"/>
          <w:i w:val="0"/>
          <w:color w:val="1A2334"/>
          <w:sz w:val="22"/>
        </w:rPr>
        <w:t>Sağlam veri temeli yapay zekâyı yanılmaz yapmaz. Ancak yanıtlarını daha izlenebilir, denetlenebilir ve gerçekten karar verilmesi gereken konuya daha yakın kılar.</w:t>
      </w:r>
    </w:p>
    <w:p>
      <w:r>
        <w:br w:type="page"/>
      </w:r>
    </w:p>
    <w:p>
      <w:pPr>
        <w:spacing w:after="140"/>
      </w:pPr>
      <w:r>
        <w:rPr>
          <w:rFonts w:ascii="Fraunces" w:hAnsi="Fraunces" w:eastAsia="Fraunces"/>
          <w:b/>
          <w:i w:val="0"/>
          <w:color w:val="1A2334"/>
          <w:sz w:val="50"/>
        </w:rPr>
        <w:t>Çalışma kâğıdı: Komuttan önce malzemeni kontrol et</w:t>
      </w:r>
    </w:p>
    <w:p>
      <w:pPr>
        <w:spacing w:before="0" w:after="280" w:line="322" w:lineRule="auto"/>
      </w:pPr>
      <w:r>
        <w:rPr>
          <w:rFonts w:ascii="Source Serif 4" w:hAnsi="Source Serif 4" w:eastAsia="Source Serif 4"/>
          <w:b w:val="0"/>
          <w:i w:val="0"/>
          <w:color w:val="1A2334"/>
          <w:sz w:val="22"/>
        </w:rPr>
        <w:t>Gerçek bir görev ve ona bağlı üç dosya ya da not seç. Onlar için kısa veri kartı oluştur.</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Kökeni kaydet</w:t>
            </w:r>
          </w:p>
          <w:p>
            <w:pPr>
              <w:spacing w:line="300" w:lineRule="auto"/>
            </w:pPr>
            <w:r>
              <w:rPr>
                <w:rFonts w:ascii="Source Serif 4" w:hAnsi="Source Serif 4" w:eastAsia="Source Serif 4"/>
                <w:b w:val="0"/>
                <w:i w:val="0"/>
                <w:color w:val="354159"/>
                <w:sz w:val="21"/>
              </w:rPr>
              <w:t>Her malzemenin nereden geldiğini yaz.</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İlgiyi değerlendir</w:t>
            </w:r>
          </w:p>
          <w:p>
            <w:pPr>
              <w:spacing w:line="300" w:lineRule="auto"/>
            </w:pPr>
            <w:r>
              <w:rPr>
                <w:rFonts w:ascii="Source Serif 4" w:hAnsi="Source Serif 4" w:eastAsia="Source Serif 4"/>
                <w:b w:val="0"/>
                <w:i w:val="0"/>
                <w:color w:val="354159"/>
                <w:sz w:val="21"/>
              </w:rPr>
              <w:t>Hangi kararı etkilediğini belirt.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Durumu işaretle</w:t>
            </w:r>
          </w:p>
          <w:p>
            <w:pPr>
              <w:spacing w:line="300" w:lineRule="auto"/>
            </w:pPr>
            <w:r>
              <w:rPr>
                <w:rFonts w:ascii="Source Serif 4" w:hAnsi="Source Serif 4" w:eastAsia="Source Serif 4"/>
                <w:b w:val="0"/>
                <w:i w:val="0"/>
                <w:color w:val="354159"/>
                <w:sz w:val="21"/>
              </w:rPr>
              <w:t>Güncel, geçici veya eski olanı etiketle.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Boşluğu adlandır</w:t>
            </w:r>
          </w:p>
          <w:p>
            <w:pPr>
              <w:spacing w:line="300" w:lineRule="auto"/>
            </w:pPr>
            <w:r>
              <w:rPr>
                <w:rFonts w:ascii="Source Serif 4" w:hAnsi="Source Serif 4" w:eastAsia="Source Serif 4"/>
                <w:b w:val="0"/>
                <w:i w:val="0"/>
                <w:color w:val="354159"/>
                <w:sz w:val="21"/>
              </w:rPr>
              <w:t>Sonraki yanıttan önce eksik olan bir bilgiyi not et.</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Gelecekte önce kontrol edeceğim dosya: _________________________________________________________________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En önemli açık bilgi: ________________________________________________________________________________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