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Verinin bir yaşam döngüsüne ihtiyacı vardır</w:t>
      </w:r>
    </w:p>
    <w:p>
      <w:pPr>
        <w:spacing w:after="160" w:line="283" w:lineRule="auto"/>
      </w:pPr>
      <w:r>
        <w:rPr>
          <w:rFonts w:ascii="Aptos" w:hAnsi="Aptos"/>
          <w:b w:val="0"/>
          <w:i w:val="0"/>
          <w:color w:val="637087"/>
          <w:sz w:val="25"/>
        </w:rPr>
        <w:t>Toplama, kullanım, inceleme, arşivleme ve silme neden tek bir bağlantılı sistem olarak tasarlanmalıdır?</w:t>
      </w:r>
    </w:p>
    <w:p>
      <w:pPr>
        <w:spacing w:after="280" w:line="283" w:lineRule="auto"/>
      </w:pPr>
      <w:r>
        <w:rPr>
          <w:rFonts w:ascii="Aptos" w:hAnsi="Aptos"/>
          <w:b/>
          <w:i w:val="0"/>
          <w:color w:val="4F7CFF"/>
          <w:sz w:val="17"/>
        </w:rPr>
        <w:t>DENEME · AI DATA ENGINEERING · 12 DK OKUMA  ·  Furkan Sakızlı</w:t>
      </w:r>
    </w:p>
    <w:p>
      <w:pPr>
        <w:spacing w:after="280"/>
        <w:jc w:val="center"/>
      </w:pPr>
      <w:r>
        <w:drawing>
          <wp:inline xmlns:a="http://schemas.openxmlformats.org/drawingml/2006/main" xmlns:pic="http://schemas.openxmlformats.org/drawingml/2006/picture">
            <wp:extent cx="6126480" cy="3447977"/>
            <wp:docPr id="1" name="Picture 1" title="Verinin bir yaşam döngüsüne ihtiyacı vardır" descr="Fildişi veri kartları toplama, inceleme, kullanım, arşiv ve kontrollü son aşamalarından oluşan zarif mavi yaşam döngüsünde ilerli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Veri yalnızca eski olduğu için tehlikeli olmaz. Neden var olduğu, hâlâ geçerli olup olmadığı ve amacının ne zaman bittiği bilinmediğinde tehlikeli olur.</w:t>
            </w:r>
          </w:p>
        </w:tc>
      </w:tr>
    </w:tbl>
    <w:p>
      <w:pPr>
        <w:spacing w:after="140" w:line="283" w:lineRule="auto"/>
      </w:pPr>
      <w:r>
        <w:rPr>
          <w:rFonts w:ascii="Aptos" w:hAnsi="Aptos"/>
          <w:b w:val="0"/>
          <w:i w:val="0"/>
          <w:color w:val="1A2334"/>
          <w:sz w:val="21"/>
        </w:rPr>
        <w:t>Birçok veri projesi alım ve kullanımı ayrıntılı düşünür; sonrasını ihmal eder. Belgeler yüklenir, tablolar birleştirilir, konuşmalar indekslenir, çıktılar saklanır. Her adımda koleksiyon büyür. Eksik olan; nesnenin ne zaman etkinleşeceğini, kimin inceleyeceğini, neyin yerine geçeceğini ve kontrollü biçimde nasıl kullanım dışı bırakılacağını belirleyen sistemdir.</w:t>
      </w:r>
    </w:p>
    <w:p>
      <w:pPr>
        <w:spacing w:after="140" w:line="283" w:lineRule="auto"/>
      </w:pPr>
      <w:r>
        <w:rPr>
          <w:rFonts w:ascii="Aptos" w:hAnsi="Aptos"/>
          <w:b w:val="0"/>
          <w:i w:val="0"/>
          <w:color w:val="1A2334"/>
          <w:sz w:val="21"/>
        </w:rPr>
        <w:t>Yaşam döngüsü sunum için çizilmiş daire değildir. Sorumluluk, kural, olay ve sınanabilir geçişleri olan durum modelidir. Bilgi alanını güncel, meşru biçimde kullanılabilir ve yapay zekâ açısından yönetilebilir tutan budur.</w:t>
      </w:r>
    </w:p>
    <w:p>
      <w:pPr>
        <w:keepNext/>
        <w:spacing w:before="320" w:after="120"/>
      </w:pPr>
      <w:r>
        <w:rPr>
          <w:rFonts w:ascii="Georgia" w:hAnsi="Georgia"/>
          <w:b/>
          <w:i w:val="0"/>
          <w:color w:val="1A2334"/>
          <w:sz w:val="32"/>
        </w:rPr>
        <w:t>Yaşam döngüsü toplamadan önce başlar</w:t>
      </w:r>
    </w:p>
    <w:p>
      <w:pPr>
        <w:spacing w:after="140" w:line="283" w:lineRule="auto"/>
      </w:pPr>
      <w:r>
        <w:rPr>
          <w:rFonts w:ascii="Aptos" w:hAnsi="Aptos"/>
          <w:b w:val="0"/>
          <w:i w:val="0"/>
          <w:color w:val="1A2334"/>
          <w:sz w:val="21"/>
        </w:rPr>
        <w:t>İlk soru dosyanın nerede saklanacağı değildir. Bu bilgiye neden ihtiyaç duyulduğudur. Amaç, beklenen kullanım, etkilenen kişiler, koruma ve kanıt ihtiyacı; hangi verinin alınacağını ve gereken kaliteyi belirler.</w:t>
      </w:r>
    </w:p>
    <w:p>
      <w:pPr>
        <w:spacing w:after="140" w:line="283" w:lineRule="auto"/>
      </w:pPr>
      <w:r>
        <w:rPr>
          <w:rFonts w:ascii="Aptos" w:hAnsi="Aptos"/>
          <w:b w:val="0"/>
          <w:i w:val="0"/>
          <w:color w:val="1A2334"/>
          <w:sz w:val="21"/>
        </w:rPr>
        <w:t>“İleride işe yarar” diye her şeyi toplamak kararı yalnızca erteler. Bilinmeyen kopyalar, çelişkili sürümler ve sahipsiz depolar oluşur. Kişisel veriler ayrıca amaçla sınırlılık, minimizasyon ve saklama sınırlaması gibi bağlama bağlı hukuk ilkelerine tabidir. Başka bilgiler yasal, sözleşmesel veya mesleki saklama yükümlülükleri taşıyabilir.</w:t>
      </w:r>
    </w:p>
    <w:p>
      <w:pPr>
        <w:spacing w:after="140" w:line="283" w:lineRule="auto"/>
      </w:pPr>
      <w:r>
        <w:rPr>
          <w:rFonts w:ascii="Aptos" w:hAnsi="Aptos"/>
          <w:b w:val="0"/>
          <w:i w:val="0"/>
          <w:color w:val="1A2334"/>
          <w:sz w:val="21"/>
        </w:rPr>
        <w:t>Bu nedenle nesne girişte en az amaç, kaynak, sorumlu sahip, koruma sınıfı, durum, geçerlilik dönemi, inceleme tarihi ve öngörülen tasfiye kuralı almalıdır. Eksik bilgiler ilk günden yaşam döngüsü borcu yaratır.</w:t>
      </w:r>
    </w:p>
    <w:p>
      <w:pPr>
        <w:keepNext/>
        <w:spacing w:before="320" w:after="120"/>
      </w:pPr>
      <w:r>
        <w:rPr>
          <w:rFonts w:ascii="Georgia" w:hAnsi="Georgia"/>
          <w:b/>
          <w:i w:val="0"/>
          <w:color w:val="1A2334"/>
          <w:sz w:val="32"/>
        </w:rPr>
        <w:t>Aşama adlarından çok durum ve geçişler önemlidir</w:t>
      </w:r>
    </w:p>
    <w:p>
      <w:pPr>
        <w:spacing w:after="140" w:line="283" w:lineRule="auto"/>
      </w:pPr>
      <w:r>
        <w:rPr>
          <w:rFonts w:ascii="Aptos" w:hAnsi="Aptos"/>
          <w:b w:val="0"/>
          <w:i w:val="0"/>
          <w:color w:val="1A2334"/>
          <w:sz w:val="21"/>
        </w:rPr>
        <w:t>Oluştur, sakla, kullan, arşivle ve sil gibi aşamalar yön gösterir; fakat gerçek veri tek yönde ilerlemez. Arşivlenmiş kayıt denetim için yeniden sunulabilir. Kaynak geri çekilip düzeltilerek yeniden yayımlanabilir. Taslak etkinleşmeden reddedilebilir.</w:t>
      </w:r>
    </w:p>
    <w:p>
      <w:pPr>
        <w:spacing w:after="140" w:line="283" w:lineRule="auto"/>
      </w:pPr>
      <w:r>
        <w:rPr>
          <w:rFonts w:ascii="Aptos" w:hAnsi="Aptos"/>
          <w:b w:val="0"/>
          <w:i w:val="0"/>
          <w:color w:val="1A2334"/>
          <w:sz w:val="21"/>
        </w:rPr>
        <w:t>Durum modeli daha kesindir. Bilgi nesnesi `draft`, `in_review`, `approved`, `active`, `restricted`, `superseded`, `archived`, `legal_hold` veya `disposed` olabilir. Her geçişin tetikleyicisi, yetkili rolü, ön koşulu, olay kaydı ve sonraki etkisi vardır.</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object_id: contract-guide-v4</w:t>
              <w:br/>
              <w:t>state: active</w:t>
              <w:br/>
              <w:t>valid_from: 2026-07-01</w:t>
              <w:br/>
              <w:t>review_due: 2027-01-15</w:t>
              <w:br/>
              <w:t>owner_role: legal_content_owner</w:t>
              <w:br/>
              <w:t>retention_class: business_guidance</w:t>
              <w:br/>
              <w:t>supersedes: contract-guide-v3</w:t>
              <w:br/>
              <w:t>on_expiry: block_retrieval_and_review</w:t>
            </w:r>
          </w:p>
        </w:tc>
      </w:tr>
    </w:tbl>
    <w:p>
      <w:pPr>
        <w:spacing w:after="140" w:line="283" w:lineRule="auto"/>
      </w:pPr>
      <w:r>
        <w:rPr>
          <w:rFonts w:ascii="Aptos" w:hAnsi="Aptos"/>
          <w:b w:val="0"/>
          <w:i w:val="0"/>
          <w:color w:val="1A2334"/>
          <w:sz w:val="21"/>
        </w:rPr>
        <w:t>Değer uygulamadan gelir. `review_due` geçtiğinde sistem yalnızca e-posta gönderip devam etmemelidir. Riske göre nesne işaretlenir, varsayılan retrieval dışına çıkarılır, incelemeye gönderilir veya görünür sınırlamayla kullanılabilir.</w:t>
      </w:r>
    </w:p>
    <w:p>
      <w:pPr>
        <w:keepNext/>
        <w:spacing w:before="320" w:after="120"/>
      </w:pPr>
      <w:r>
        <w:rPr>
          <w:rFonts w:ascii="Georgia" w:hAnsi="Georgia"/>
          <w:b/>
          <w:i w:val="0"/>
          <w:color w:val="1A2334"/>
          <w:sz w:val="32"/>
        </w:rPr>
        <w:t>Ham veri, kürate veri ve etkin kanıt aynı değildir</w:t>
      </w:r>
    </w:p>
    <w:p>
      <w:pPr>
        <w:spacing w:after="140" w:line="283" w:lineRule="auto"/>
      </w:pPr>
      <w:r>
        <w:rPr>
          <w:rFonts w:ascii="Aptos" w:hAnsi="Aptos"/>
          <w:b w:val="0"/>
          <w:i w:val="0"/>
          <w:color w:val="1A2334"/>
          <w:sz w:val="21"/>
        </w:rPr>
        <w:t>Sağlam mimari katmanları ayırır. Ham bölge özgün kaydı değişmeden ve korumalı tutar. Kürate bölge temizlenmiş, normalleştirilmiş veya zenginleştirilmiş sürümleri belgeli türetmeyle taşır. Etkin bilgi alanı yalnızca belirli amaç, dönem ve kullanıcı grubu için onaylı kaynakları içerir. Arşiv, seçilmiş tarihsel nesne ve kanıtları her yapay zekâ sorgusuna otomatik vermeden saklar.</w:t>
      </w:r>
    </w:p>
    <w:p>
      <w:pPr>
        <w:spacing w:after="140" w:line="283" w:lineRule="auto"/>
      </w:pPr>
      <w:r>
        <w:rPr>
          <w:rFonts w:ascii="Aptos" w:hAnsi="Aptos"/>
          <w:b w:val="0"/>
          <w:i w:val="0"/>
          <w:color w:val="1A2334"/>
          <w:sz w:val="21"/>
        </w:rPr>
        <w:t>Bu ayrım iki hatayı önler: Düzeltme özgünün üzerine sessizce yazılmaz; “bulunabilir” ile “şimdi kullanılabilir” karıştırılmaz. Tarihsel kayıt değerini korurken güncel kararı bağlamsız biçimde geçersiz kılamaz.</w:t>
      </w:r>
    </w:p>
    <w:p>
      <w:pPr>
        <w:spacing w:after="140" w:line="283" w:lineRule="auto"/>
      </w:pPr>
      <w:r>
        <w:rPr>
          <w:rFonts w:ascii="Aptos" w:hAnsi="Aptos"/>
          <w:b w:val="0"/>
          <w:i w:val="0"/>
          <w:color w:val="1A2334"/>
          <w:sz w:val="21"/>
        </w:rPr>
        <w:t>Katmanlar arasında kalite ve onay kapıları vardır. Kimlik, biçim, bütünlük, köken, hak, koruma sınıfı, sürüm ve amaç kontrol edilir. Kapı yalnızca başarıyla çalışan betik değil, kaydedilmiş karardır.</w:t>
      </w:r>
    </w:p>
    <w:p>
      <w:pPr>
        <w:keepNext/>
        <w:spacing w:before="320" w:after="120"/>
      </w:pPr>
      <w:r>
        <w:rPr>
          <w:rFonts w:ascii="Georgia" w:hAnsi="Georgia"/>
          <w:b/>
          <w:i w:val="0"/>
          <w:color w:val="1A2334"/>
          <w:sz w:val="32"/>
        </w:rPr>
        <w:t>Her kullanım yeni yaşam döngüsü nesneleri üretir</w:t>
      </w:r>
    </w:p>
    <w:p>
      <w:pPr>
        <w:spacing w:after="140" w:line="283" w:lineRule="auto"/>
      </w:pPr>
      <w:r>
        <w:rPr>
          <w:rFonts w:ascii="Aptos" w:hAnsi="Aptos"/>
          <w:b w:val="0"/>
          <w:i w:val="0"/>
          <w:color w:val="1A2334"/>
          <w:sz w:val="21"/>
        </w:rPr>
        <w:t>Yapay zekâ sistemi veriyi yalnızca tüketmez. Parça, embedding, özet, sınıflandırma, prompt, araç sonucu, log ve yanıt üretir. Her çıktının kendi amacı, hassasiyeti ve yaşam döngüsü vardır.</w:t>
      </w:r>
    </w:p>
    <w:p>
      <w:pPr>
        <w:spacing w:after="140" w:line="283" w:lineRule="auto"/>
      </w:pPr>
      <w:r>
        <w:rPr>
          <w:rFonts w:ascii="Aptos" w:hAnsi="Aptos"/>
          <w:b w:val="0"/>
          <w:i w:val="0"/>
          <w:color w:val="1A2334"/>
          <w:sz w:val="21"/>
        </w:rPr>
        <w:t>Belge silinirken parçaları vektör indeksinde kalabilir. Yanlış sayı bilgi tabanından çıkarken kaydedilmiş özette yaşayabilir. Kişisel bilgi arayüzden kaldırılıp hata ayıklama logunda kalabilir. Köken bilgisi türetmeleri iki yönde görünür kılmalıdır.</w:t>
      </w:r>
    </w:p>
    <w:p>
      <w:pPr>
        <w:spacing w:after="140" w:line="283" w:lineRule="auto"/>
      </w:pPr>
      <w:r>
        <w:rPr>
          <w:rFonts w:ascii="Aptos" w:hAnsi="Aptos"/>
          <w:b w:val="0"/>
          <w:i w:val="0"/>
          <w:color w:val="1A2334"/>
          <w:sz w:val="21"/>
        </w:rPr>
        <w:t>RAG zinciri örneğin özgün → çıkarım → kürate belge → parça → embedding → indeks kaydı → getirilen kanıt → yanıt biçimindedir. Kaynak durumu değişince zincir boyunca tanımlı işler tetiklenir: engelleme, yeniden çıkarım, yeniden embedding, indeks geçersizleştirme, bağlı özetleri inceleme ve etkilenen yanıtları işaretleme.</w:t>
      </w:r>
    </w:p>
    <w:p>
      <w:pPr>
        <w:spacing w:after="140" w:line="283" w:lineRule="auto"/>
      </w:pPr>
      <w:r>
        <w:rPr>
          <w:rFonts w:ascii="Aptos" w:hAnsi="Aptos"/>
          <w:b w:val="0"/>
          <w:i w:val="0"/>
          <w:color w:val="1A2334"/>
          <w:sz w:val="21"/>
        </w:rPr>
        <w:t>Her çıktı sonsuza dek saklanmamalıdır. Bazı çalışma verileri kısa süreli hata ayıklama içindir; başka kayıtlar denetim, güvenlik veya mesleki sorumluluk için daha uzun tutulur. Kararı boş depolama alanı değil, amaç ve risk verir.</w:t>
      </w:r>
    </w:p>
    <w:p>
      <w:pPr>
        <w:keepNext/>
        <w:spacing w:before="320" w:after="120"/>
      </w:pPr>
      <w:r>
        <w:rPr>
          <w:rFonts w:ascii="Georgia" w:hAnsi="Georgia"/>
          <w:b/>
          <w:i w:val="0"/>
          <w:color w:val="1A2334"/>
          <w:sz w:val="32"/>
        </w:rPr>
        <w:t>Saklama iki soru sorar: Ne kadar ve hangi durumda?</w:t>
      </w:r>
    </w:p>
    <w:p>
      <w:pPr>
        <w:spacing w:after="140" w:line="283" w:lineRule="auto"/>
      </w:pPr>
      <w:r>
        <w:rPr>
          <w:rFonts w:ascii="Aptos" w:hAnsi="Aptos"/>
          <w:b w:val="0"/>
          <w:i w:val="0"/>
          <w:color w:val="1A2334"/>
          <w:sz w:val="21"/>
        </w:rPr>
        <w:t>“Yedi yıl” tam saklama kuralı değildir. Başlangıç olayı, istisna, sorumlu rol ve son eylem gerekir. Süre oluşturma, sözleşme bitişi, son değişiklik veya dosya kapanışında mı başlar? Dava veya inceleme sırasında ne olur?</w:t>
      </w:r>
    </w:p>
    <w:p>
      <w:pPr>
        <w:spacing w:after="140" w:line="283" w:lineRule="auto"/>
      </w:pPr>
      <w:r>
        <w:rPr>
          <w:rFonts w:ascii="Aptos" w:hAnsi="Aptos"/>
          <w:b w:val="0"/>
          <w:i w:val="0"/>
          <w:color w:val="1A2334"/>
          <w:sz w:val="21"/>
        </w:rPr>
        <w:t>Saklama, verinin tüm süre boyunca yapay zekâ bağlamında etkin kalması anlamına gelmez. Nesne kanıt için korumalı arşive alınırken arama, eğitim ve üretim dışına çıkarılabilir. Erişim, şifreleme, bütünlük ve geri yükleme arşiv işlevine göre düzenlenir.</w:t>
      </w:r>
    </w:p>
    <w:p>
      <w:pPr>
        <w:spacing w:after="140" w:line="283" w:lineRule="auto"/>
      </w:pPr>
      <w:r>
        <w:rPr>
          <w:rFonts w:ascii="Aptos" w:hAnsi="Aptos"/>
          <w:b w:val="0"/>
          <w:i w:val="0"/>
          <w:color w:val="1A2334"/>
          <w:sz w:val="21"/>
        </w:rPr>
        <w:t>`legal_hold` veya benzer koruma durumu olağan tasfiyeyi geçici durdurabilir. Bu istisna gerekçeli, yetkili, incelenen ve sonunda kaldırılan bir karar olmalıdır. Kalıcı istisna zayıf yönetişim işaretidir.</w:t>
      </w:r>
    </w:p>
    <w:p>
      <w:pPr>
        <w:keepNext/>
        <w:spacing w:before="320" w:after="120"/>
      </w:pPr>
      <w:r>
        <w:rPr>
          <w:rFonts w:ascii="Georgia" w:hAnsi="Georgia"/>
          <w:b/>
          <w:i w:val="0"/>
          <w:color w:val="1A2334"/>
          <w:sz w:val="32"/>
        </w:rPr>
        <w:t>Silme düğme değil, zincirdir</w:t>
      </w:r>
    </w:p>
    <w:p>
      <w:pPr>
        <w:spacing w:after="140" w:line="283" w:lineRule="auto"/>
      </w:pPr>
      <w:r>
        <w:rPr>
          <w:rFonts w:ascii="Aptos" w:hAnsi="Aptos"/>
          <w:b w:val="0"/>
          <w:i w:val="0"/>
          <w:color w:val="1A2334"/>
          <w:sz w:val="21"/>
        </w:rPr>
        <w:t>Veritabanı satırını kaldırmak yaşam döngüsünü otomatik bitirmez. Kopyalar önbellek, arama indeksi, dışa aktarım, veri gölü, analitik tablo, log, yedek ve kullanıcı cihazında kalabilir. Türetilmiş çıktılar içeriğin bir kısmını koruyabilir.</w:t>
      </w:r>
    </w:p>
    <w:p>
      <w:pPr>
        <w:spacing w:after="140" w:line="283" w:lineRule="auto"/>
      </w:pPr>
      <w:r>
        <w:rPr>
          <w:rFonts w:ascii="Aptos" w:hAnsi="Aptos"/>
          <w:b w:val="0"/>
          <w:i w:val="0"/>
          <w:color w:val="1A2334"/>
          <w:sz w:val="21"/>
        </w:rPr>
        <w:t>Bu nedenle tasfiyenin kapsamı olmalıdır. Sistem bağlı nesneleri bulur, öngörülen yöntemi uygular, başarı ve hatayı kaydeder, kalan depoları denetler. Medya temizleme ayrı teknik disiplindir. NIST SP 800-88 Rev. 2 bunu, belirli çaba düzeyinde hedef veriye erişimi uygulanamaz kılan riske dayalı süreç olarak ele alır.</w:t>
      </w:r>
    </w:p>
    <w:p>
      <w:pPr>
        <w:spacing w:after="140" w:line="283" w:lineRule="auto"/>
      </w:pPr>
      <w:r>
        <w:rPr>
          <w:rFonts w:ascii="Aptos" w:hAnsi="Aptos"/>
          <w:b w:val="0"/>
          <w:i w:val="0"/>
          <w:color w:val="1A2334"/>
          <w:sz w:val="21"/>
        </w:rPr>
        <w:t>Yedekler dürüstçe tasarlanmalıdır. Tek nesne değişmez yedekten hemen çıkarılamayabilir. Üretimden silinir, geri yüklemede bastırılmak üzere kaydedilir ve belgeli yedek döngüsüyle sona erer. Geri yükleme, tasfiye edilmiş veriyi sessizce etkinleştirmemelidir.</w:t>
      </w:r>
    </w:p>
    <w:p>
      <w:pPr>
        <w:spacing w:after="140" w:line="283" w:lineRule="auto"/>
      </w:pPr>
      <w:r>
        <w:rPr>
          <w:rFonts w:ascii="Aptos" w:hAnsi="Aptos"/>
          <w:b w:val="0"/>
          <w:i w:val="0"/>
          <w:color w:val="1A2334"/>
          <w:sz w:val="21"/>
        </w:rPr>
        <w:t>Silme kaydı da silinen içeriğin tamamını saklamamalıdır. Kimlik, kural, zaman, yöntem, uygulayan rol, etkilenen sistem ve sonucu asgari düzeyde belgeler.</w:t>
      </w:r>
    </w:p>
    <w:p>
      <w:pPr>
        <w:keepNext/>
        <w:spacing w:before="320" w:after="120"/>
      </w:pPr>
      <w:r>
        <w:rPr>
          <w:rFonts w:ascii="Georgia" w:hAnsi="Georgia"/>
          <w:b/>
          <w:i w:val="0"/>
          <w:color w:val="1A2334"/>
          <w:sz w:val="32"/>
        </w:rPr>
        <w:t>Yaşam döngüsü kontrolü olay ve sahip gerektirir</w:t>
      </w:r>
    </w:p>
    <w:p>
      <w:pPr>
        <w:spacing w:after="140" w:line="283" w:lineRule="auto"/>
      </w:pPr>
      <w:r>
        <w:rPr>
          <w:rFonts w:ascii="Aptos" w:hAnsi="Aptos"/>
          <w:b w:val="0"/>
          <w:i w:val="0"/>
          <w:color w:val="1A2334"/>
          <w:sz w:val="21"/>
        </w:rPr>
        <w:t>Takvim tek başına yetmez. Yeni sürüm, onay geri çekilmesi, sözleşme bitişi, kaynak düzeltmesi, rol değişikliği, olay, model güncellemesi veya amaç değişikliği de durum geçişi yaratır. Bu olaylar otomatik kontrolleri tetiklemelidir.</w:t>
      </w:r>
    </w:p>
    <w:p>
      <w:pPr>
        <w:spacing w:after="140" w:line="283" w:lineRule="auto"/>
      </w:pPr>
      <w:r>
        <w:rPr>
          <w:rFonts w:ascii="Aptos" w:hAnsi="Aptos"/>
          <w:b w:val="0"/>
          <w:i w:val="0"/>
          <w:color w:val="1A2334"/>
          <w:sz w:val="21"/>
        </w:rPr>
        <w:t>Yaşam döngüsü matrisi veri türü, amaç, sahip, etkin durum, inceleme, saklama, arşiv hedefi, tasfiye yöntemi ve bağlı sistemleri birleştirir. Alan sahibi anlamı ve geçerliliği; data steward kural ve meta veriyi; güvenlik koruma ve temizlemeyi; hukuk ve mahremiyet ilgili yükümlülüğü; mühendislik geçiş uygulamasını; denetim ise kanıtı kontrol eder.</w:t>
      </w:r>
    </w:p>
    <w:p>
      <w:pPr>
        <w:spacing w:after="140" w:line="283" w:lineRule="auto"/>
      </w:pPr>
      <w:r>
        <w:rPr>
          <w:rFonts w:ascii="Aptos" w:hAnsi="Aptos"/>
          <w:b w:val="0"/>
          <w:i w:val="0"/>
          <w:color w:val="1A2334"/>
          <w:sz w:val="21"/>
        </w:rPr>
        <w:t>İnsan anlam ve istisnanın karara bağlandığı yerde kalır. Otomasyon süre, bağımlılık analizi, engelleme, yeniden indeksleme ve kanıt toplamayı yürütür. Belirsiz saklama yükümlülüğünü sessiz silme veya sonsuz saklamayla “çözmemelidir”.</w:t>
      </w:r>
    </w:p>
    <w:p>
      <w:pPr>
        <w:keepNext/>
        <w:spacing w:before="320" w:after="120"/>
      </w:pPr>
      <w:r>
        <w:rPr>
          <w:rFonts w:ascii="Georgia" w:hAnsi="Georgia"/>
          <w:b/>
          <w:i w:val="0"/>
          <w:color w:val="1A2334"/>
          <w:sz w:val="32"/>
        </w:rPr>
        <w:t>Veri ve model yaşam döngüsü kesişir</w:t>
      </w:r>
    </w:p>
    <w:p>
      <w:pPr>
        <w:spacing w:after="140" w:line="283" w:lineRule="auto"/>
      </w:pPr>
      <w:r>
        <w:rPr>
          <w:rFonts w:ascii="Aptos" w:hAnsi="Aptos"/>
          <w:b w:val="0"/>
          <w:i w:val="0"/>
          <w:color w:val="1A2334"/>
          <w:sz w:val="21"/>
        </w:rPr>
        <w:t>Eğitim verisi, değerlendirme seti ve bilgi tabanı model ile ölçümü biçimlendirir. RAG'de geri çekme çoğunlukla kontrollü indeks güncellemesiyle yönetilebilir. Eğitilmiş modelden tek kaynağın etkisini çıkarmak çok daha zordur. Eğitim kullanımına ilişkin karar bu nedenle alımdan önce daha sıkı olmalıdır.</w:t>
      </w:r>
    </w:p>
    <w:p>
      <w:pPr>
        <w:spacing w:after="140" w:line="283" w:lineRule="auto"/>
      </w:pPr>
      <w:r>
        <w:rPr>
          <w:rFonts w:ascii="Aptos" w:hAnsi="Aptos"/>
          <w:b w:val="0"/>
          <w:i w:val="0"/>
          <w:color w:val="1A2334"/>
          <w:sz w:val="21"/>
        </w:rPr>
        <w:t>Model sürümü veri snapshot'ı, filtre, dönüşüm kodu ve değerlendirme setine bağlanmalıdır. Veri kümesi de hangi model, indeks veya rapor tarafından kullanıldığını gösterebilmelidir. Böylece değişiklik yalnızca kaynak klasörünü temizlemek yerine etki analizi başlatır.</w:t>
      </w:r>
    </w:p>
    <w:p>
      <w:pPr>
        <w:spacing w:after="140" w:line="283" w:lineRule="auto"/>
      </w:pPr>
      <w:r>
        <w:rPr>
          <w:rFonts w:ascii="Aptos" w:hAnsi="Aptos"/>
          <w:b w:val="0"/>
          <w:i w:val="0"/>
          <w:color w:val="1A2334"/>
          <w:sz w:val="21"/>
        </w:rPr>
        <w:t>Yaşam döngüsü deployment ile bitmez. Drift, yeni hata ve değişen çalışma koşulları eski verinin uygunluğunu azaltabilir. Planlı incelemeye kalite düşüşü, olağandışı retrieval, yeni kategori ve mesleki şikâyet gibi olaylar eklenir.</w:t>
      </w:r>
    </w:p>
    <w:p>
      <w:pPr>
        <w:keepNext/>
        <w:spacing w:before="320" w:after="120"/>
      </w:pPr>
      <w:r>
        <w:rPr>
          <w:rFonts w:ascii="Georgia" w:hAnsi="Georgia"/>
          <w:b/>
          <w:i w:val="0"/>
          <w:color w:val="1A2334"/>
          <w:sz w:val="32"/>
        </w:rPr>
        <w:t>Yaşam döngüsü senaryolarla sınanır</w:t>
      </w:r>
    </w:p>
    <w:p>
      <w:pPr>
        <w:spacing w:after="140" w:line="283" w:lineRule="auto"/>
      </w:pPr>
      <w:r>
        <w:rPr>
          <w:rFonts w:ascii="Aptos" w:hAnsi="Aptos"/>
          <w:b w:val="0"/>
          <w:i w:val="0"/>
          <w:color w:val="1A2334"/>
          <w:sz w:val="21"/>
        </w:rPr>
        <w:t>Diyagram çalışmayı kanıtlamaz. Somut geçişleri test et:</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Etkin politika yeni sürümle değiştirildi. Eski sürüm varsayılan retrieval dışına çıktı 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Kaynak geri çekildi. Hangi parça, embedding, özet ve yanıt belirlendi?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İnceleme tarihi geçti. Kullanım engellendi, sınırlandı veya yükseltildi mi?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Silme talebi üretim, log ve yedeğe ulaştı. Her sistemin akışı belgeli mi?</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Yedek geri yüklendi. Önceden tasfiye edilen nesne bastırıldı 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`legal_hold` sona erdi. Normal kural yeniden başladı mı?</w:t>
            </w:r>
          </w:p>
        </w:tc>
      </w:tr>
    </w:tbl>
    <w:p>
      <w:pPr>
        <w:spacing w:after="140" w:line="283" w:lineRule="auto"/>
      </w:pPr>
      <w:r>
        <w:rPr>
          <w:rFonts w:ascii="Aptos" w:hAnsi="Aptos"/>
          <w:b w:val="0"/>
          <w:i w:val="0"/>
          <w:color w:val="1A2334"/>
          <w:sz w:val="21"/>
        </w:rPr>
        <w:t>Geçiş süresi, hata, bulunmayan bağımlılık, manuel istisna ve kanıt bütünlüğünü ölç. Güçlü yaşam döngüsü hiç hata olmadığı için görünmez değildir; sapma tanınıp kontrol edildiği için güvenilirdir.</w:t>
      </w:r>
    </w:p>
    <w:p>
      <w:pPr>
        <w:spacing w:after="140" w:line="283" w:lineRule="auto"/>
      </w:pPr>
      <w:r>
        <w:rPr>
          <w:rFonts w:ascii="Aptos" w:hAnsi="Aptos"/>
          <w:b w:val="0"/>
          <w:i w:val="0"/>
          <w:color w:val="1A2334"/>
          <w:sz w:val="21"/>
        </w:rPr>
        <w:t>Verinin yaşam döngüsüne ihtiyacı vardır; çünkü bilgi zamana bağlıdır. Amaç başlar, geçerlilik biter, ilişki değişir ve risk türetmeler boyunca ilerler. Yalnızca depolamayı düzenlemek koleksiyon yönetimidir. Durum ve geçişleri tasarlamak sorumlu bilgi altyapısı kurmaktır.</w:t>
      </w:r>
    </w:p>
    <w:p>
      <w:pPr>
        <w:keepNext/>
        <w:spacing w:before="320" w:after="120"/>
      </w:pPr>
      <w:r>
        <w:rPr>
          <w:rFonts w:ascii="Georgia" w:hAnsi="Georgia"/>
          <w:b/>
          <w:i w:val="0"/>
          <w:color w:val="1A2334"/>
          <w:sz w:val="32"/>
        </w:rPr>
        <w:t>Çalışma kâğıdı: Yaşam döngüsü matrisi kur</w:t>
      </w:r>
    </w:p>
    <w:p>
      <w:pPr>
        <w:spacing w:after="140" w:line="283" w:lineRule="auto"/>
      </w:pPr>
      <w:r>
        <w:rPr>
          <w:rFonts w:ascii="Aptos" w:hAnsi="Aptos"/>
          <w:b w:val="0"/>
          <w:i w:val="0"/>
          <w:color w:val="1A2334"/>
          <w:sz w:val="21"/>
        </w:rPr>
        <w:t>En az beş kaynak ve bir yapay zekâ kullanım senaryosu seç.</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 ve girişi tanımla:** Toplama nedeni, izin verilen kullanım, sahip, koruma sınıfı ve zorunlu meta veriyi yaz.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**Durumları modelle:** En az sekiz durum ile izin verilen geçişleri, rolleri ve ön koşulları tanımla.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**Türetmeleri eşle:** Özgün, işlem, parça, embedding, indeks, özet ve çıktıyı zincirle.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**İnceleme ve saklamayı planla:** Tetikleyici, süre başlangıcı, istisna, arşiv durumu ve son eylemi belirle.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**Geri çekmeyi canlandır:** Bir kaynağı geri çek; engelleme, yeniden indeksleme, inceleme ve silme adımlarını kaydet.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**Geri yüklemeyi test et:** Yedek geri yüklemesini canlandır ve tasfiye edilen nesnenin yeniden etkinleşmesini önle.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**Kanıtı incele:** Bağımsız kişi her geçişi kimin neden tetiklediğini anlayabiliyor mu?</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türetilmiş çıktı bu çalışma olmadan etkin kalacaktı? _________________________________________________</w:t>
      </w:r>
    </w:p>
    <w:p>
      <w:pPr>
        <w:spacing w:after="140" w:line="283" w:lineRule="auto"/>
      </w:pPr>
      <w:r>
        <w:rPr>
          <w:rFonts w:ascii="Aptos" w:hAnsi="Aptos"/>
          <w:b w:val="0"/>
          <w:i w:val="0"/>
          <w:color w:val="1A2334"/>
          <w:sz w:val="21"/>
        </w:rPr>
        <w:t>Hangi geçiş zorunlu olarak insan kararı gerektiriyor? ____________________________________________________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2021'de geçerliliği onaylanan; kayıtların zaman ve teknolojik ortamlar boyunca oluşturulması, yakalanması ve yönetilmesine ilişkin güncel ilkeler.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2023'te geçerliliği onaylanan; kayıt, süreç ve sistem meta verilerine ilişkin güncel ilkeler.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varlık, faaliyet, aktör ve türetme ilişkileri modeli.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[GDPR, (AB) 2016/679, Madde 5](https://eur-lex.europa.eu/eli/reg/2016/679/oj/eng) – kişisel veriler için amaçla sınırlılık, veri minimizasyonu, doğruluk, saklama sınırlaması, bütünlük ve gizlilik ilkeleri.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800-88 Rev. 2](https://csrc.nist.gov/pubs/sp/800/88/r2/final) – 2025 tarihli, riske uygun medya temizleme ve elden çıkarma rehberi.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Framework](https://www.nist.gov/itl/ai-risk-management-framework) – yapay zekâ risklerini kurum işlevleri ve sistem bağlamı boyunca yönetmeye yönelik gönüllü çerçeve.</w:t>
      </w:r>
    </w:p>
    <w:p>
      <w:pPr>
        <w:spacing w:after="140" w:line="283" w:lineRule="auto"/>
      </w:pPr>
      <w:r>
        <w:rPr>
          <w:rFonts w:ascii="Aptos" w:hAnsi="Aptos"/>
          <w:b w:val="0"/>
          <w:i w:val="0"/>
          <w:color w:val="1A2334"/>
          <w:sz w:val="21"/>
        </w:rPr>
        <w:t>*Kapsam:* Her veri için aynı aşama veya saklama süresini öngören evrensel yaşam döngüsü yoktur. Hukuki yükümlülük, meşru arşiv amacı, sözleşme, kanıt ihtiyacı ve teknik imkânlar değişir. Bu yazı mesleki-teknik tasarım modeli sunar; hukuki danışmanlık değildir. Uygulamadaki kaydı silmek, depolama ortamı, yedek, indeks veya türetilmiş çıktının güvenli biçimde ortadan kalktığı anlamına gelmez.</w:t>
      </w:r>
    </w:p>
    <w:p>
      <w:r>
        <w:br w:type="page"/>
      </w:r>
    </w:p>
    <w:p>
      <w:pPr>
        <w:keepNext/>
        <w:spacing w:before="320" w:after="120"/>
      </w:pPr>
      <w:r>
        <w:rPr>
          <w:rFonts w:ascii="Georgia" w:hAnsi="Georgia"/>
          <w:b/>
          <w:i w:val="0"/>
          <w:color w:val="1A2334"/>
          <w:sz w:val="32"/>
        </w:rPr>
        <w:t>Çalışma şablonu: Yaşam döngüsü matrisi</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Veri türü / amaç / sahip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Giriş ve zorunlu meta veri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Etkin durum / onay kapısı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İnceleme tetikleyicisi ve tepki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Saklama / başlangıç / istisna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Türetmeler ve bağlı sistemler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Arşiv / tasfiye / kanıt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Verinin bir yaşam döngüsüne ihtiyacı vardır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