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YAPAY ZEKÂ VE İŞ</w:t>
      </w:r>
    </w:p>
    <w:p>
      <w:pPr>
        <w:spacing w:after="160" w:line="235" w:lineRule="auto"/>
      </w:pPr>
      <w:r>
        <w:rPr>
          <w:rFonts w:ascii="Fraunces" w:hAnsi="Fraunces" w:eastAsia="Fraunces"/>
          <w:b/>
          <w:i w:val="0"/>
          <w:color w:val="1A2334"/>
          <w:sz w:val="56"/>
        </w:rPr>
        <w:t>Tarayıcı planlar, ajan inşa eder, insan karar verir</w:t>
      </w:r>
    </w:p>
    <w:p>
      <w:pPr>
        <w:spacing w:after="340" w:line="293" w:lineRule="auto"/>
      </w:pPr>
      <w:r>
        <w:rPr>
          <w:rFonts w:ascii="Source Serif 4" w:hAnsi="Source Serif 4" w:eastAsia="Source Serif 4"/>
          <w:b w:val="0"/>
          <w:i/>
          <w:color w:val="637087"/>
          <w:sz w:val="26"/>
        </w:rPr>
        <w:t>Araştırma, uygulama ve onay birbirinden ayrıldığında belirsiz bir fikrin nasıl sorumlu bir iş akışına dönüştüğü.</w:t>
      </w:r>
    </w:p>
    <w:p>
      <w:pPr>
        <w:spacing w:after="420"/>
      </w:pPr>
      <w:r>
        <w:rPr>
          <w:rFonts w:ascii="IBM Plex Mono" w:hAnsi="IBM Plex Mono" w:eastAsia="IBM Plex Mono"/>
          <w:b w:val="0"/>
          <w:i w:val="0"/>
          <w:color w:val="4F7CFF"/>
          <w:sz w:val="17"/>
        </w:rPr>
        <w:t>8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Bir yapay zekâ sisteminden metin taslağından fazlası istendiğinde cazip bir kısayol ortaya çıkar: “Her şeyi sen yap.” Tam da burada iş belirsizleşir. Bunun nedeni bir sistemin katkı sunamaması değildir; planlama, uygulama ve karar verme farklı işlerdir. Bunları ayırmak hız, görünürlük ve sorumluluk için daha iyi bir yer yaratır.</w:t>
            </w:r>
          </w:p>
        </w:tc>
      </w:tr>
    </w:tbl>
    <w:p>
      <w:pPr>
        <w:spacing w:before="360" w:after="140"/>
      </w:pPr>
      <w:r>
        <w:rPr>
          <w:rFonts w:ascii="Fraunces" w:hAnsi="Fraunces" w:eastAsia="Fraunces"/>
          <w:b/>
          <w:i w:val="0"/>
          <w:color w:val="1A2334"/>
          <w:sz w:val="36"/>
        </w:rPr>
        <w:t>Fikir önce yürünebilir bir plana ihtiyaç duyar</w:t>
      </w:r>
    </w:p>
    <w:p>
      <w:pPr>
        <w:spacing w:before="0" w:after="160" w:line="322" w:lineRule="auto"/>
      </w:pPr>
      <w:r>
        <w:rPr>
          <w:rFonts w:ascii="Source Serif 4" w:hAnsi="Source Serif 4" w:eastAsia="Source Serif 4"/>
          <w:b w:val="0"/>
          <w:i w:val="0"/>
          <w:color w:val="1A2334"/>
          <w:sz w:val="22"/>
        </w:rPr>
        <w:t>Tarayıcı burada yalnızca internete açılan pencere değildir. Yön veren çalışma bölümünü temsil eder: gereksinimleri okumak, kaynak bulmak, seçenekleri karşılaştırmak ve açık soruları görünür kılmak. Bu aşamanın sonucu bitmiş ürün değildir. Bir insanın takip edebileceği plandır.</w:t>
      </w:r>
    </w:p>
    <w:p>
      <w:pPr>
        <w:spacing w:before="0" w:after="160" w:line="322" w:lineRule="auto"/>
      </w:pPr>
      <w:r>
        <w:rPr>
          <w:rFonts w:ascii="Source Serif 4" w:hAnsi="Source Serif 4" w:eastAsia="Source Serif 4"/>
          <w:b w:val="0"/>
          <w:i w:val="0"/>
          <w:color w:val="1A2334"/>
          <w:sz w:val="22"/>
        </w:rPr>
        <w:t>İyi plan hedefi, malzemeleri, sınırları ve doğrulanabilir sonraki adımı adlandırır. Boşluk içerebilir; önemli olan onların saklanmamasıdır. Bir varsayım gerekliyse varsayım olarak işaretlenir. Kaynak eksikse boşluk, sonuçta görünmez biçimde kalmak yerine planda yer alır.</w:t>
      </w:r>
    </w:p>
    <w:p>
      <w:pPr>
        <w:spacing w:before="360" w:after="140"/>
      </w:pPr>
      <w:r>
        <w:rPr>
          <w:rFonts w:ascii="Fraunces" w:hAnsi="Fraunces" w:eastAsia="Fraunces"/>
          <w:b/>
          <w:i w:val="0"/>
          <w:color w:val="1A2334"/>
          <w:sz w:val="36"/>
        </w:rPr>
        <w:t>Ajan açık bir çerçeve içinde inşa eder</w:t>
      </w:r>
    </w:p>
    <w:p>
      <w:pPr>
        <w:spacing w:before="0" w:after="160" w:line="322" w:lineRule="auto"/>
      </w:pPr>
      <w:r>
        <w:rPr>
          <w:rFonts w:ascii="Source Serif 4" w:hAnsi="Source Serif 4" w:eastAsia="Source Serif 4"/>
          <w:b w:val="0"/>
          <w:i w:val="0"/>
          <w:color w:val="1A2334"/>
          <w:sz w:val="22"/>
        </w:rPr>
        <w:t>Çerçeve kurulduğunda uygulama üretken olur. Bir ajan dosyaları düzenleyebilir, taslak üretebilir, tekrar eden adımları yürütebilir veya birkaç varyant hazırlayabilir. Gücü, açıklanmış görevi tutarlı biçimde işlemesidir; belirsiz görevin amacını tahmin etmesi değil.</w:t>
      </w:r>
    </w:p>
    <w:p>
      <w:pPr>
        <w:spacing w:before="0" w:after="160" w:line="322" w:lineRule="auto"/>
      </w:pPr>
      <w:r>
        <w:rPr>
          <w:rFonts w:ascii="Source Serif 4" w:hAnsi="Source Serif 4" w:eastAsia="Source Serif 4"/>
          <w:b w:val="0"/>
          <w:i w:val="0"/>
          <w:color w:val="1A2334"/>
          <w:sz w:val="22"/>
        </w:rPr>
        <w:t>Bu yüzden uygulama aşaması küçük bir devir paketi ister: Ne üretilecek? Hangi malzemeler geçerli? Hangi kurallar bağlayıcı? Ne değişebilir ve ne dokunulmadan kalmalı? Bu cevaplar netleştikçe ajanın doğaçlama yapması azalır ve çıktısını incelemek kolaylaşır.</w:t>
      </w:r>
    </w:p>
    <w:p>
      <w:pPr>
        <w:spacing w:before="360" w:after="140"/>
      </w:pPr>
      <w:r>
        <w:rPr>
          <w:rFonts w:ascii="Fraunces" w:hAnsi="Fraunces" w:eastAsia="Fraunces"/>
          <w:b/>
          <w:i w:val="0"/>
          <w:color w:val="1A2334"/>
          <w:sz w:val="36"/>
        </w:rPr>
        <w:t>Karar vermek ayrı bir etkinlik olarak kalır</w:t>
      </w:r>
    </w:p>
    <w:p>
      <w:pPr>
        <w:spacing w:before="0" w:after="160" w:line="322" w:lineRule="auto"/>
      </w:pPr>
      <w:r>
        <w:rPr>
          <w:rFonts w:ascii="Source Serif 4" w:hAnsi="Source Serif 4" w:eastAsia="Source Serif 4"/>
          <w:b w:val="0"/>
          <w:i w:val="0"/>
          <w:color w:val="1A2334"/>
          <w:sz w:val="22"/>
        </w:rPr>
        <w:t>Tamamlanmış taslak henüz karar değildir. İnsanlar öncelik, sonuç, ton ve bir sonucun savunulabilir olup olmadığı hakkında karar verir. Biçimsel olarak doğru çözümün yanlış zamanda geldiğini veya asıl soruyu kaçırdığını da görebilirler. Bu rol, değişiklikler pahalılaştığında en sonda ortaya çıkmamalıdır.</w:t>
      </w:r>
    </w:p>
    <w:p>
      <w:pPr>
        <w:spacing w:before="0" w:after="160" w:line="322" w:lineRule="auto"/>
      </w:pPr>
      <w:r>
        <w:rPr>
          <w:rFonts w:ascii="Source Serif 4" w:hAnsi="Source Serif 4" w:eastAsia="Source Serif 4"/>
          <w:b w:val="0"/>
          <w:i w:val="0"/>
          <w:color w:val="1A2334"/>
          <w:sz w:val="22"/>
        </w:rPr>
        <w:t>Bu nedenle bilinçli kontrol noktaları kur: planlamadan sonra, önemli ara durumlarda ve dış etkisi olacak her şeyden önce. Kontrol noktası güvensizlik ilanı değildir. Projenin yeniden yönetilebilir hâle geldiği yerdir. İnsan orada onaylayabilir, düzeltebilir, kapsam değiştirebilir veya işi durdurabilir.</w:t>
      </w:r>
    </w:p>
    <w:p>
      <w:pPr>
        <w:spacing w:before="360" w:after="140"/>
      </w:pPr>
      <w:r>
        <w:rPr>
          <w:rFonts w:ascii="Fraunces" w:hAnsi="Fraunces" w:eastAsia="Fraunces"/>
          <w:b/>
          <w:i w:val="0"/>
          <w:color w:val="1A2334"/>
          <w:sz w:val="36"/>
        </w:rPr>
        <w:t>İyi iş akışı geri dönüş yollarını kolaylaştırır</w:t>
      </w:r>
    </w:p>
    <w:p>
      <w:pPr>
        <w:spacing w:before="0" w:after="160" w:line="322" w:lineRule="auto"/>
      </w:pPr>
      <w:r>
        <w:rPr>
          <w:rFonts w:ascii="Source Serif 4" w:hAnsi="Source Serif 4" w:eastAsia="Source Serif 4"/>
          <w:b w:val="0"/>
          <w:i w:val="0"/>
          <w:color w:val="1A2334"/>
          <w:sz w:val="22"/>
        </w:rPr>
        <w:t>Her araştırma en iyi uygulamaya götürmez. Her taslak incelemeyi geçmez. Bu sistem hatası değil, iyi çalışmanın normal parçasıdır. Dayanıklı iş akışı bu yüzden geri dönüşlere izin verir: incelemeden uygulamaya, uygulamadan plana ve plandan çözülmemiş soruya.</w:t>
      </w:r>
    </w:p>
    <w:p>
      <w:pPr>
        <w:spacing w:before="0" w:after="160" w:line="322" w:lineRule="auto"/>
      </w:pPr>
      <w:r>
        <w:rPr>
          <w:rFonts w:ascii="Source Serif 4" w:hAnsi="Source Serif 4" w:eastAsia="Source Serif 4"/>
          <w:b w:val="0"/>
          <w:i w:val="0"/>
          <w:color w:val="1A2334"/>
          <w:sz w:val="22"/>
        </w:rPr>
        <w:t>Pratik kural basittir: Her aşama küçük, okunabilir bir artefakt bırakır. Plan kararları kaydeder. Taslak ne inşa edildiğini gösterir. İnceleme neyin onaylandığını, değiştiğini veya reddedildiğini açıklar. Böylece insanlar, araçlar veya zaman değişse de proje anlaşılır kalır.</w:t>
      </w:r>
    </w:p>
    <w:p>
      <w:pPr>
        <w:spacing w:before="360" w:after="140"/>
      </w:pPr>
      <w:r>
        <w:rPr>
          <w:rFonts w:ascii="Fraunces" w:hAnsi="Fraunces" w:eastAsia="Fraunces"/>
          <w:b/>
          <w:i w:val="0"/>
          <w:color w:val="1A2334"/>
          <w:sz w:val="36"/>
        </w:rPr>
        <w:t>Üç aşamalı kart</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PROJE KARTI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**Plan**</w:t>
            </w:r>
          </w:p>
          <w:p>
            <w:pPr>
              <w:spacing w:after="40"/>
            </w:pPr>
            <w:r>
              <w:rPr>
                <w:rFonts w:ascii="IBM Plex Mono" w:hAnsi="IBM Plex Mono" w:eastAsia="IBM Plex Mono"/>
                <w:b w:val="0"/>
                <w:i w:val="0"/>
                <w:color w:val="27334A"/>
                <w:sz w:val="17"/>
              </w:rPr>
              <w:t>Hedef: …</w:t>
            </w:r>
          </w:p>
          <w:p>
            <w:pPr>
              <w:spacing w:after="40"/>
            </w:pPr>
            <w:r>
              <w:rPr>
                <w:rFonts w:ascii="IBM Plex Mono" w:hAnsi="IBM Plex Mono" w:eastAsia="IBM Plex Mono"/>
                <w:b w:val="0"/>
                <w:i w:val="0"/>
                <w:color w:val="27334A"/>
                <w:sz w:val="17"/>
              </w:rPr>
              <w:t>Açık sorular: …</w:t>
            </w:r>
          </w:p>
          <w:p>
            <w:pPr>
              <w:spacing w:after="40"/>
            </w:pPr>
            <w:r>
              <w:rPr>
                <w:rFonts w:ascii="IBM Plex Mono" w:hAnsi="IBM Plex Mono" w:eastAsia="IBM Plex Mono"/>
                <w:b w:val="0"/>
                <w:i w:val="0"/>
                <w:color w:val="27334A"/>
                <w:sz w:val="17"/>
              </w:rPr>
              <w:t>Kaynaklar ve varsayımlar: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**Uygulama**</w:t>
            </w:r>
          </w:p>
          <w:p>
            <w:pPr>
              <w:spacing w:after="40"/>
            </w:pPr>
            <w:r>
              <w:rPr>
                <w:rFonts w:ascii="IBM Plex Mono" w:hAnsi="IBM Plex Mono" w:eastAsia="IBM Plex Mono"/>
                <w:b w:val="0"/>
                <w:i w:val="0"/>
                <w:color w:val="27334A"/>
                <w:sz w:val="17"/>
              </w:rPr>
              <w:t>Oluşturulacak sonuçlar: …</w:t>
            </w:r>
          </w:p>
          <w:p>
            <w:pPr>
              <w:spacing w:after="40"/>
            </w:pPr>
            <w:r>
              <w:rPr>
                <w:rFonts w:ascii="IBM Plex Mono" w:hAnsi="IBM Plex Mono" w:eastAsia="IBM Plex Mono"/>
                <w:b w:val="0"/>
                <w:i w:val="0"/>
                <w:color w:val="27334A"/>
                <w:sz w:val="17"/>
              </w:rPr>
              <w:t>Malzemeler ve kurallar: …</w:t>
            </w:r>
          </w:p>
          <w:p>
            <w:pPr>
              <w:spacing w:after="40"/>
            </w:pPr>
            <w:r>
              <w:rPr>
                <w:rFonts w:ascii="IBM Plex Mono" w:hAnsi="IBM Plex Mono" w:eastAsia="IBM Plex Mono"/>
                <w:b w:val="0"/>
                <w:i w:val="0"/>
                <w:color w:val="27334A"/>
                <w:sz w:val="17"/>
              </w:rPr>
              <w:t>Değiştirme: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**Karar**</w:t>
            </w:r>
          </w:p>
          <w:p>
            <w:pPr>
              <w:spacing w:after="40"/>
            </w:pPr>
            <w:r>
              <w:rPr>
                <w:rFonts w:ascii="IBM Plex Mono" w:hAnsi="IBM Plex Mono" w:eastAsia="IBM Plex Mono"/>
                <w:b w:val="0"/>
                <w:i w:val="0"/>
                <w:color w:val="27334A"/>
                <w:sz w:val="17"/>
              </w:rPr>
              <w:t>İnceleme ölçütleri: …</w:t>
            </w:r>
          </w:p>
          <w:p>
            <w:pPr>
              <w:spacing w:after="40"/>
            </w:pPr>
            <w:r>
              <w:rPr>
                <w:rFonts w:ascii="IBM Plex Mono" w:hAnsi="IBM Plex Mono" w:eastAsia="IBM Plex Mono"/>
                <w:b w:val="0"/>
                <w:i w:val="0"/>
                <w:color w:val="27334A"/>
                <w:sz w:val="17"/>
              </w:rPr>
              <w:t>Kontrol noktaları: …</w:t>
            </w:r>
          </w:p>
          <w:p>
            <w:pPr>
              <w:spacing w:after="40"/>
            </w:pPr>
            <w:r>
              <w:rPr>
                <w:rFonts w:ascii="IBM Plex Mono" w:hAnsi="IBM Plex Mono" w:eastAsia="IBM Plex Mono"/>
                <w:b w:val="0"/>
                <w:i w:val="0"/>
                <w:color w:val="27334A"/>
                <w:sz w:val="17"/>
              </w:rPr>
              <w:t>Onaylayan: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**Geri dönüş yolu**</w:t>
            </w:r>
          </w:p>
          <w:p>
            <w:pPr>
              <w:spacing w:after="40"/>
            </w:pPr>
            <w:r>
              <w:rPr>
                <w:rFonts w:ascii="IBM Plex Mono" w:hAnsi="IBM Plex Mono" w:eastAsia="IBM Plex Mono"/>
                <w:b w:val="0"/>
                <w:i w:val="0"/>
                <w:color w:val="27334A"/>
                <w:sz w:val="17"/>
              </w:rPr>
              <w:t>Bir şey uymadığında … aşamasına dön.</w:t>
            </w:r>
          </w:p>
        </w:tc>
      </w:tr>
    </w:tbl>
    <w:p>
      <w:pPr>
        <w:spacing w:before="240" w:after="280" w:line="322" w:lineRule="auto"/>
      </w:pPr>
      <w:r>
        <w:rPr>
          <w:rFonts w:ascii="Source Serif 4" w:hAnsi="Source Serif 4" w:eastAsia="Source Serif 4"/>
          <w:b w:val="0"/>
          <w:i w:val="0"/>
          <w:color w:val="1A2334"/>
          <w:sz w:val="22"/>
        </w:rPr>
        <w:t>Sorumlu yapay zekâ iş akışı, yalnızca insanların karar verebileceği işi ortadan kaldırmaz. Enerjiyi değiştirir: tekrar için daha az, yön, inceleme ve yargı için daha çok zaman. Tarayıcı, ajan ve insan bu durumda rakip değil, açıkça dağıtılmış üç çalışma biçimidir.</w:t>
      </w:r>
    </w:p>
    <w:p>
      <w:r>
        <w:br w:type="page"/>
      </w:r>
    </w:p>
    <w:p>
      <w:pPr>
        <w:spacing w:after="140"/>
      </w:pPr>
      <w:r>
        <w:rPr>
          <w:rFonts w:ascii="Fraunces" w:hAnsi="Fraunces" w:eastAsia="Fraunces"/>
          <w:b/>
          <w:i w:val="0"/>
          <w:color w:val="1A2334"/>
          <w:sz w:val="50"/>
        </w:rPr>
        <w:t>Çalışma kâğıdı: Bir projeyi plan, uygulama ve karara ayır</w:t>
      </w:r>
    </w:p>
    <w:p>
      <w:pPr>
        <w:spacing w:before="0" w:after="280" w:line="322" w:lineRule="auto"/>
      </w:pPr>
      <w:r>
        <w:rPr>
          <w:rFonts w:ascii="Source Serif 4" w:hAnsi="Source Serif 4" w:eastAsia="Source Serif 4"/>
          <w:b w:val="0"/>
          <w:i w:val="0"/>
          <w:color w:val="1A2334"/>
          <w:sz w:val="22"/>
        </w:rPr>
        <w:t>Önümüzdeki iki hafta içinde gerçekten çalışmak istediğin bir proje seç. Küçük olabilir: makale, araştırma, süreç veya prototip. İdeal bir makine çizme; kendin kontrol edebileceğin iş akışını tarif et.</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Planı yaz</w:t>
            </w:r>
          </w:p>
          <w:p>
            <w:pPr>
              <w:spacing w:line="300" w:lineRule="auto"/>
            </w:pPr>
            <w:r>
              <w:rPr>
                <w:rFonts w:ascii="Source Serif 4" w:hAnsi="Source Serif 4" w:eastAsia="Source Serif 4"/>
                <w:b w:val="0"/>
                <w:i w:val="0"/>
                <w:color w:val="354159"/>
                <w:sz w:val="21"/>
              </w:rPr>
              <w:t>Hedefi, iki açık soruyu ve başlamadan önce kontrol edilmesi gereken malzemeleri yaz.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Uygulamayı sınırla</w:t>
            </w:r>
          </w:p>
          <w:p>
            <w:pPr>
              <w:spacing w:line="300" w:lineRule="auto"/>
            </w:pPr>
            <w:r>
              <w:rPr>
                <w:rFonts w:ascii="Source Serif 4" w:hAnsi="Source Serif 4" w:eastAsia="Source Serif 4"/>
                <w:b w:val="0"/>
                <w:i w:val="0"/>
                <w:color w:val="354159"/>
                <w:sz w:val="21"/>
              </w:rPr>
              <w:t>Bir ajanın tam olarak hangi sonucu hazırlayabileceğini anlat. Değiştirilmemesi gereken bir kural ekle.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İki kontrol noktası koy</w:t>
            </w:r>
          </w:p>
          <w:p>
            <w:pPr>
              <w:spacing w:line="300" w:lineRule="auto"/>
            </w:pPr>
            <w:r>
              <w:rPr>
                <w:rFonts w:ascii="Source Serif 4" w:hAnsi="Source Serif 4" w:eastAsia="Source Serif 4"/>
                <w:b w:val="0"/>
                <w:i w:val="0"/>
                <w:color w:val="354159"/>
                <w:sz w:val="21"/>
              </w:rPr>
              <w:t>Planı ne zaman onaylayacağını ve taslağı ne zaman inceleyeceğini belirle. Her biri için ilerleme veya geri dönüş ölçütü yaz.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Geri dönüş yolunu yaz</w:t>
            </w:r>
          </w:p>
          <w:p>
            <w:pPr>
              <w:spacing w:line="300" w:lineRule="auto"/>
            </w:pPr>
            <w:r>
              <w:rPr>
                <w:rFonts w:ascii="Source Serif 4" w:hAnsi="Source Serif 4" w:eastAsia="Source Serif 4"/>
                <w:b w:val="0"/>
                <w:i w:val="0"/>
                <w:color w:val="354159"/>
                <w:sz w:val="21"/>
              </w:rPr>
              <w:t>Sonuç uymadığında hangi aşamaya döneceğini ve orada hangi soruyu çözeceğini bir cümleyle yaz.</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Artık atlamayacağım kontrol noktası: _________________________________________________________________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Bende kalması gereken karar: ______________________________________________________________________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