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Otomasyon kontrol ihtiyacını artırır</w:t>
      </w:r>
    </w:p>
    <w:p>
      <w:pPr>
        <w:spacing w:after="160" w:line="283" w:lineRule="auto"/>
      </w:pPr>
      <w:r>
        <w:rPr>
          <w:rFonts w:ascii="Aptos" w:hAnsi="Aptos"/>
          <w:b w:val="0"/>
          <w:i w:val="0"/>
          <w:color w:val="637087"/>
          <w:sz w:val="25"/>
        </w:rPr>
        <w:t>Automated AI action'ın speed, reach ve repetition etkisinin graduated autonomy, observability, approval ve effective stop rule ile neden sınırlandırılması gerektiği.</w:t>
      </w:r>
    </w:p>
    <w:p>
      <w:pPr>
        <w:spacing w:after="280" w:line="283" w:lineRule="auto"/>
      </w:pPr>
      <w:r>
        <w:rPr>
          <w:rFonts w:ascii="Aptos" w:hAnsi="Aptos"/>
          <w:b/>
          <w:i w:val="0"/>
          <w:color w:val="4F7CFF"/>
          <w:sz w:val="17"/>
        </w:rPr>
        <w:t>DENEME · AI DATA ENGINEERING · 16 DK OKUMA  ·  Furkan Sakızlı</w:t>
      </w:r>
    </w:p>
    <w:p>
      <w:pPr>
        <w:spacing w:after="280"/>
        <w:jc w:val="center"/>
      </w:pPr>
      <w:r>
        <w:drawing>
          <wp:inline xmlns:a="http://schemas.openxmlformats.org/drawingml/2006/main" xmlns:pic="http://schemas.openxmlformats.org/drawingml/2006/picture">
            <wp:extent cx="6126480" cy="3447977"/>
            <wp:docPr id="1" name="Picture 1" title="Otomasyon kontrol ihtiyacını artırır" descr="White data block, transparent control gate, blue status signal, control console ve restrained amber stop point içeren aydınlık üç boyutlu automation line."/>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Otomasyon work step'i azaltır, accountability'yi değil. Bir system ne kadar hızlı act eder, ne kadar geniş reach kazanır ve decision'ı ne kadar sık repeat ederse boundary, signal ve intervention point o kadar precise tasarlanmalıdır.</w:t>
            </w:r>
          </w:p>
        </w:tc>
      </w:tr>
    </w:tbl>
    <w:p>
      <w:pPr>
        <w:spacing w:after="140" w:line="283" w:lineRule="auto"/>
      </w:pPr>
      <w:r>
        <w:rPr>
          <w:rFonts w:ascii="Aptos" w:hAnsi="Aptos"/>
          <w:b w:val="0"/>
          <w:i w:val="0"/>
          <w:color w:val="1A2334"/>
          <w:sz w:val="21"/>
        </w:rPr>
        <w:t>Manual work'ta human attention her step'in parçasıdır. Bu yapı slow ve error-prone olsa da natural pause üretir. Automation bu friction'ı kaldırır. Wrong record bir kez değil on bin kez classify edilir; untested rule tek file yerine bütün collection'ı değiştirir; faulty message tek person yerine complete list'e gider.</w:t>
      </w:r>
    </w:p>
    <w:p>
      <w:pPr>
        <w:spacing w:after="140" w:line="283" w:lineRule="auto"/>
      </w:pPr>
      <w:r>
        <w:rPr>
          <w:rFonts w:ascii="Aptos" w:hAnsi="Aptos"/>
          <w:b w:val="0"/>
          <w:i w:val="0"/>
          <w:color w:val="1A2334"/>
          <w:sz w:val="21"/>
        </w:rPr>
        <w:t>Control ihtiyacı automation inherently unsafe olduğu için değil; **speed, reach, repetition, chaining ve invisibility** impact'i çarptığı için artar. Good control her automated step'i manual replay etmez. Human attention'ı edge case ve consequential transition'a yönlendirir; technical control routine execution'ı sınırlar.</w:t>
      </w:r>
    </w:p>
    <w:p>
      <w:pPr>
        <w:keepNext/>
        <w:spacing w:before="320" w:after="120"/>
      </w:pPr>
      <w:r>
        <w:rPr>
          <w:rFonts w:ascii="Georgia" w:hAnsi="Georgia"/>
          <w:b/>
          <w:i w:val="0"/>
          <w:color w:val="1A2334"/>
          <w:sz w:val="32"/>
        </w:rPr>
        <w:t>Control impact radius ile büyümelidir</w:t>
      </w:r>
    </w:p>
    <w:p>
      <w:pPr>
        <w:spacing w:after="140" w:line="283" w:lineRule="auto"/>
      </w:pPr>
      <w:r>
        <w:rPr>
          <w:rFonts w:ascii="Aptos" w:hAnsi="Aptos"/>
          <w:b w:val="0"/>
          <w:i w:val="0"/>
          <w:color w:val="1A2334"/>
          <w:sz w:val="21"/>
        </w:rPr>
        <w:t>Step count zayıf bir risk ölçüsüdür. Potential effect önemlidir. Isolated test copy üzerinde beş yüz read query, production master record'a tek write'tan daha düşük riskli olabilir.</w:t>
      </w:r>
    </w:p>
    <w:p>
      <w:pPr>
        <w:spacing w:after="140" w:line="283" w:lineRule="auto"/>
      </w:pPr>
      <w:r>
        <w:rPr>
          <w:rFonts w:ascii="Aptos" w:hAnsi="Aptos"/>
          <w:b w:val="0"/>
          <w:i w:val="0"/>
          <w:color w:val="1A2334"/>
          <w:sz w:val="21"/>
        </w:rPr>
        <w:t>Impact profile en az data sensitivity, target breadth, reversibility, external visibility, financial veya legal consequence ve propagation speed boyutlarını inceler. Model uncertainty ve task novelty ek context sağlar. Combination universal magic score üretmez; reasoned control class oluşturur.</w:t>
      </w:r>
    </w:p>
    <w:p>
      <w:pPr>
        <w:spacing w:after="140" w:line="283" w:lineRule="auto"/>
      </w:pPr>
      <w:r>
        <w:rPr>
          <w:rFonts w:ascii="Aptos" w:hAnsi="Aptos"/>
          <w:b w:val="0"/>
          <w:i w:val="0"/>
          <w:color w:val="1A2334"/>
          <w:sz w:val="21"/>
        </w:rPr>
        <w:t>Control proportional'dır. Low-risk routine akabilir. High-impact work narrower right, smaller batch, stronger evidence ve explicit approval ister.</w:t>
      </w:r>
    </w:p>
    <w:p>
      <w:pPr>
        <w:keepNext/>
        <w:spacing w:before="320" w:after="120"/>
      </w:pPr>
      <w:r>
        <w:rPr>
          <w:rFonts w:ascii="Georgia" w:hAnsi="Georgia"/>
          <w:b/>
          <w:i w:val="0"/>
          <w:color w:val="1A2334"/>
          <w:sz w:val="32"/>
        </w:rPr>
        <w:t>Autonomy ladder all-or-nothing düşünceyi kırar</w:t>
      </w:r>
    </w:p>
    <w:p>
      <w:pPr>
        <w:spacing w:after="140" w:line="283" w:lineRule="auto"/>
      </w:pPr>
      <w:r>
        <w:rPr>
          <w:rFonts w:ascii="Aptos" w:hAnsi="Aptos"/>
          <w:b w:val="0"/>
          <w:i w:val="0"/>
          <w:color w:val="1A2334"/>
          <w:sz w:val="21"/>
        </w:rPr>
        <w:t>Manual work ile unrestricted autonomy arasında useful level'lar vardır:</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**Observe:** read ve analyse eder, hiçbir şeyi değiştirmez.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**Recommend:** rationale ve evidence ile action önerir.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**Prepare:** isolated area'da draft, patch veya transaction hazırlar.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**Execute with approval:** authorised person concrete action set'i onaylar.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**Execute within limits:** narrow target, quota ve time window içinde act eder.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**Scale after evidence:** stable result ve review sonrasında reach büyür.</w:t>
            </w:r>
          </w:p>
        </w:tc>
      </w:tr>
    </w:tbl>
    <w:p>
      <w:pPr>
        <w:spacing w:after="140" w:line="283" w:lineRule="auto"/>
      </w:pPr>
      <w:r>
        <w:rPr>
          <w:rFonts w:ascii="Aptos" w:hAnsi="Aptos"/>
          <w:b w:val="0"/>
          <w:i w:val="0"/>
          <w:color w:val="1A2334"/>
          <w:sz w:val="21"/>
        </w:rPr>
        <w:t>Task aynı level'da kalmak zorunda değildir. New source, changed model, unfamiliar format veya abnormal error rate otomatik downgrade yaratabilir. Autonomy revocable operating licence'tır; permanent property değildir.</w:t>
      </w:r>
    </w:p>
    <w:p>
      <w:pPr>
        <w:keepNext/>
        <w:spacing w:before="320" w:after="120"/>
      </w:pPr>
      <w:r>
        <w:rPr>
          <w:rFonts w:ascii="Georgia" w:hAnsi="Georgia"/>
          <w:b/>
          <w:i w:val="0"/>
          <w:color w:val="1A2334"/>
          <w:sz w:val="32"/>
        </w:rPr>
        <w:t>Risk budget dikkat talebini executable boundary'ye çevirir</w:t>
      </w:r>
    </w:p>
    <w:p>
      <w:pPr>
        <w:spacing w:after="140" w:line="283" w:lineRule="auto"/>
      </w:pPr>
      <w:r>
        <w:rPr>
          <w:rFonts w:ascii="Aptos" w:hAnsi="Aptos"/>
          <w:b w:val="0"/>
          <w:i w:val="0"/>
          <w:color w:val="1A2334"/>
          <w:sz w:val="21"/>
        </w:rPr>
        <w:t>“Dikkatli ol” technical control değildir. Risk budget tolerance'ı measurable limit'e çevirir: maximum changed object, allowed data class, destination path, cost, duration, error rate, external recipient ve irreversible action.</w:t>
      </w:r>
    </w:p>
    <w:p>
      <w:pPr>
        <w:spacing w:after="140" w:line="283" w:lineRule="auto"/>
      </w:pPr>
      <w:r>
        <w:rPr>
          <w:rFonts w:ascii="Aptos" w:hAnsi="Aptos"/>
          <w:b w:val="0"/>
          <w:i w:val="0"/>
          <w:color w:val="1A2334"/>
          <w:sz w:val="21"/>
        </w:rPr>
        <w:t>Budget hem per-run hem cumulative uygulanır. Tek tek küçük on action birlikte büyük effect yaratabilir. Bu nedenle volume ve consequence time window içinde sayılır. Boundary dolduğunda run stop eder veya approval mode'a geçer.</w:t>
      </w:r>
    </w:p>
    <w:p>
      <w:pPr>
        <w:spacing w:after="140" w:line="283" w:lineRule="auto"/>
      </w:pPr>
      <w:r>
        <w:rPr>
          <w:rFonts w:ascii="Aptos" w:hAnsi="Aptos"/>
          <w:b w:val="0"/>
          <w:i w:val="0"/>
          <w:color w:val="1A2334"/>
          <w:sz w:val="21"/>
        </w:rPr>
        <w:t>Executing agent kendi budget'ını yükseltemez. Boundary yalnız separate policy veya owner decision ile değişir. Böylece control, gevşemesinden yararlanacak system'ın dışında kalır.</w:t>
      </w:r>
    </w:p>
    <w:p>
      <w:pPr>
        <w:keepNext/>
        <w:spacing w:before="320" w:after="120"/>
      </w:pPr>
      <w:r>
        <w:rPr>
          <w:rFonts w:ascii="Georgia" w:hAnsi="Georgia"/>
          <w:b/>
          <w:i w:val="0"/>
          <w:color w:val="1A2334"/>
          <w:sz w:val="32"/>
        </w:rPr>
        <w:t>Approval gate impact'ten önce gelmelidir</w:t>
      </w:r>
    </w:p>
    <w:p>
      <w:pPr>
        <w:spacing w:after="140" w:line="283" w:lineRule="auto"/>
      </w:pPr>
      <w:r>
        <w:rPr>
          <w:rFonts w:ascii="Aptos" w:hAnsi="Aptos"/>
          <w:b w:val="0"/>
          <w:i w:val="0"/>
          <w:color w:val="1A2334"/>
          <w:sz w:val="21"/>
        </w:rPr>
        <w:t>Execution sonrası notification approval değildir. Gate consequential transition öncesinde exact target, action, scope, data class, expected diff, risk, recovery route ve evidence gösterir.</w:t>
      </w:r>
    </w:p>
    <w:p>
      <w:pPr>
        <w:spacing w:after="140" w:line="283" w:lineRule="auto"/>
      </w:pPr>
      <w:r>
        <w:rPr>
          <w:rFonts w:ascii="Aptos" w:hAnsi="Aptos"/>
          <w:b w:val="0"/>
          <w:i w:val="0"/>
          <w:color w:val="1A2334"/>
          <w:sz w:val="21"/>
        </w:rPr>
        <w:t>Approval ne blanket ne de sürekli olmalıdır. “Tüm sonraki step'leri onayla” actual action set'i gizler; her harmless row için prompt approval fatigue yaratır. Semantic batch daha iyidir: bounded patch, recipient list, publication package veya deletion set.</w:t>
      </w:r>
    </w:p>
    <w:p>
      <w:pPr>
        <w:spacing w:after="140" w:line="283" w:lineRule="auto"/>
      </w:pPr>
      <w:r>
        <w:rPr>
          <w:rFonts w:ascii="Aptos" w:hAnsi="Aptos"/>
          <w:b w:val="0"/>
          <w:i w:val="0"/>
          <w:color w:val="1A2334"/>
          <w:sz w:val="21"/>
        </w:rPr>
        <w:t>Very high impact için independent role'lar üzerinden dual authorisation gerekebilir. Bu universal değildir; fakat irreversible, regulated veya unusually broad change için güçlü bir pattern'dir.</w:t>
      </w:r>
    </w:p>
    <w:p>
      <w:pPr>
        <w:keepNext/>
        <w:spacing w:before="320" w:after="120"/>
      </w:pPr>
      <w:r>
        <w:rPr>
          <w:rFonts w:ascii="Georgia" w:hAnsi="Georgia"/>
          <w:b/>
          <w:i w:val="0"/>
          <w:color w:val="1A2334"/>
          <w:sz w:val="32"/>
        </w:rPr>
        <w:t>Observability yalnız log sahibi olmak değildir</w:t>
      </w:r>
    </w:p>
    <w:p>
      <w:pPr>
        <w:spacing w:after="140" w:line="283" w:lineRule="auto"/>
      </w:pPr>
      <w:r>
        <w:rPr>
          <w:rFonts w:ascii="Aptos" w:hAnsi="Aptos"/>
          <w:b w:val="0"/>
          <w:i w:val="0"/>
          <w:color w:val="1A2334"/>
          <w:sz w:val="21"/>
        </w:rPr>
        <w:t>Log mevcut ama useless olabilir. Controllable automation correlated signal ister: Request neydi? Hangi version, data ve tool kullanıldı? Hangi decision call üretti? Ne değişti? Ne kadar sürdü? Hangi warning çıktı?</w:t>
      </w:r>
    </w:p>
    <w:p>
      <w:pPr>
        <w:spacing w:after="140" w:line="283" w:lineRule="auto"/>
      </w:pPr>
      <w:r>
        <w:rPr>
          <w:rFonts w:ascii="Aptos" w:hAnsi="Aptos"/>
          <w:b w:val="0"/>
          <w:i w:val="0"/>
          <w:color w:val="1A2334"/>
          <w:sz w:val="21"/>
        </w:rPr>
        <w:t>Trace run boyunca step'leri bağlar. Metric volume, latency, error rate ve budget consumption gösterir. Log event'i açıklar. Shared run, project ve action ID signal'ları birleştirir. Sensitive payload ve secret minimise veya mask edilir; observability ikinci bir unprotected data store olmamalıdır.</w:t>
      </w:r>
    </w:p>
    <w:p>
      <w:pPr>
        <w:spacing w:after="140" w:line="283" w:lineRule="auto"/>
      </w:pPr>
      <w:r>
        <w:rPr>
          <w:rFonts w:ascii="Aptos" w:hAnsi="Aptos"/>
          <w:b w:val="0"/>
          <w:i w:val="0"/>
          <w:color w:val="1A2334"/>
          <w:sz w:val="21"/>
        </w:rPr>
        <w:t>Dashboard ancak threshold response üretiyorsa control'dür. Her alert için owner, priority, escalation path ve response expectation gerekir. Symptom-oriented alert yalnız internal component unusual mı diye değil, impact veya service objective ihlal edildi mi diye sorar.</w:t>
      </w:r>
    </w:p>
    <w:p>
      <w:pPr>
        <w:keepNext/>
        <w:spacing w:before="320" w:after="120"/>
      </w:pPr>
      <w:r>
        <w:rPr>
          <w:rFonts w:ascii="Georgia" w:hAnsi="Georgia"/>
          <w:b/>
          <w:i w:val="0"/>
          <w:color w:val="1A2334"/>
          <w:sz w:val="32"/>
        </w:rPr>
        <w:t>Stop rule hızlı, external ve tested olmalıdır</w:t>
      </w:r>
    </w:p>
    <w:p>
      <w:pPr>
        <w:spacing w:after="140" w:line="283" w:lineRule="auto"/>
      </w:pPr>
      <w:r>
        <w:rPr>
          <w:rFonts w:ascii="Aptos" w:hAnsi="Aptos"/>
          <w:b w:val="0"/>
          <w:i w:val="0"/>
          <w:color w:val="1A2334"/>
          <w:sz w:val="21"/>
        </w:rPr>
        <w:t>Executing system stop'u reasoning ile aşamamalıdır. Rule freely editable instruction dışında durur. Wrong destination, exhausted budget, repeated validation failure, missing approval, abnormal spread veya loss of observability trigger üretir.</w:t>
      </w:r>
    </w:p>
    <w:p>
      <w:pPr>
        <w:spacing w:after="140" w:line="283" w:lineRule="auto"/>
      </w:pPr>
      <w:r>
        <w:rPr>
          <w:rFonts w:ascii="Aptos" w:hAnsi="Aptos"/>
          <w:b w:val="0"/>
          <w:i w:val="0"/>
          <w:color w:val="1A2334"/>
          <w:sz w:val="21"/>
        </w:rPr>
        <w:t>Birden çok stop level gerekir: tek action deny etmek, run pause etmek, write access revoke etmek, queue block etmek veya service isolate etmek. Untested kill switch dekorasyondur. Exercise, active job'ın gerçekten durduğunu, credential'ın revoke edildiğini ve queued action'ın gizlice resume etmediğini doğrular.</w:t>
      </w:r>
    </w:p>
    <w:p>
      <w:pPr>
        <w:spacing w:after="140" w:line="283" w:lineRule="auto"/>
      </w:pPr>
      <w:r>
        <w:rPr>
          <w:rFonts w:ascii="Aptos" w:hAnsi="Aptos"/>
          <w:b w:val="0"/>
          <w:i w:val="0"/>
          <w:color w:val="1A2334"/>
          <w:sz w:val="21"/>
        </w:rPr>
        <w:t>Stopping yalnız control'ün yarısıdır. Recovery state'i capture eder, duplicate processing'i engeller, affected object'i belirler ve rollback, correction run veya manual handling arasında seçim yapar.</w:t>
      </w:r>
    </w:p>
    <w:p>
      <w:pPr>
        <w:keepNext/>
        <w:spacing w:before="320" w:after="120"/>
      </w:pPr>
      <w:r>
        <w:rPr>
          <w:rFonts w:ascii="Georgia" w:hAnsi="Georgia"/>
          <w:b/>
          <w:i w:val="0"/>
          <w:color w:val="1A2334"/>
          <w:sz w:val="32"/>
        </w:rPr>
        <w:t>Sampling risk-based olmalıdır</w:t>
      </w:r>
    </w:p>
    <w:p>
      <w:pPr>
        <w:spacing w:after="140" w:line="283" w:lineRule="auto"/>
      </w:pPr>
      <w:r>
        <w:rPr>
          <w:rFonts w:ascii="Aptos" w:hAnsi="Aptos"/>
          <w:b w:val="0"/>
          <w:i w:val="0"/>
          <w:color w:val="1A2334"/>
          <w:sz w:val="21"/>
        </w:rPr>
        <w:t>Complete manual review scale olmaz. Pure random sample rare fakat costly error'ı kaçırır. Good sampling randomness ile targeted selection'ı birleştirir: new data type, low confidence, unusual size, boundary case, sensitive class, new tool release ve established pattern'dan deviation.</w:t>
      </w:r>
    </w:p>
    <w:p>
      <w:pPr>
        <w:spacing w:after="140" w:line="283" w:lineRule="auto"/>
      </w:pPr>
      <w:r>
        <w:rPr>
          <w:rFonts w:ascii="Aptos" w:hAnsi="Aptos"/>
          <w:b w:val="0"/>
          <w:i w:val="0"/>
          <w:color w:val="1A2334"/>
          <w:sz w:val="21"/>
        </w:rPr>
        <w:t>Sample size yalnız volume'a değil accepted error tolerance ve consequence'a bağlıdır. Finding metric, test ve policy'ye girer. Global instruction'ı doğrudan rewrite etmez; önce isolated case, source-data defect veya systematic failure ayrımı review edilir.</w:t>
      </w:r>
    </w:p>
    <w:p>
      <w:pPr>
        <w:keepNext/>
        <w:spacing w:before="320" w:after="120"/>
      </w:pPr>
      <w:r>
        <w:rPr>
          <w:rFonts w:ascii="Georgia" w:hAnsi="Georgia"/>
          <w:b/>
          <w:i w:val="0"/>
          <w:color w:val="1A2334"/>
          <w:sz w:val="32"/>
        </w:rPr>
        <w:t>Evidence control claim'i kanıtlamalıdır</w:t>
      </w:r>
    </w:p>
    <w:p>
      <w:pPr>
        <w:spacing w:after="140" w:line="283" w:lineRule="auto"/>
      </w:pPr>
      <w:r>
        <w:rPr>
          <w:rFonts w:ascii="Aptos" w:hAnsi="Aptos"/>
          <w:b w:val="0"/>
          <w:i w:val="0"/>
          <w:color w:val="1A2334"/>
          <w:sz w:val="21"/>
        </w:rPr>
        <w:t>Green status evidence değildir. Her run input reference, configuration ve model version, policy decision, approval, diff veya action list, validation result, budget use ve outcome saklar. Hash veya stable identifier report ile artefact'ı bağlar.</w:t>
      </w:r>
    </w:p>
    <w:p>
      <w:pPr>
        <w:spacing w:after="140" w:line="283" w:lineRule="auto"/>
      </w:pPr>
      <w:r>
        <w:rPr>
          <w:rFonts w:ascii="Aptos" w:hAnsi="Aptos"/>
          <w:b w:val="0"/>
          <w:i w:val="0"/>
          <w:color w:val="1A2334"/>
          <w:sz w:val="21"/>
        </w:rPr>
        <w:t>Evidence unnecessary sensitive content'i duplicate etmeden decisive transition'ı açıklamalıdır. Provenance entity, activity ve accountable identity'yi bağlar; hangi rolün prepare, approve ve execute ettiği görünür olur.</w:t>
      </w:r>
    </w:p>
    <w:p>
      <w:pPr>
        <w:keepNext/>
        <w:spacing w:before="320" w:after="120"/>
      </w:pPr>
      <w:r>
        <w:rPr>
          <w:rFonts w:ascii="Georgia" w:hAnsi="Georgia"/>
          <w:b/>
          <w:i w:val="0"/>
          <w:color w:val="1A2334"/>
          <w:sz w:val="32"/>
        </w:rPr>
        <w:t>Control production'dan önce başlar</w:t>
      </w:r>
    </w:p>
    <w:p>
      <w:pPr>
        <w:spacing w:after="140" w:line="283" w:lineRule="auto"/>
      </w:pPr>
      <w:r>
        <w:rPr>
          <w:rFonts w:ascii="Aptos" w:hAnsi="Aptos"/>
          <w:b w:val="0"/>
          <w:i w:val="0"/>
          <w:color w:val="1A2334"/>
          <w:sz w:val="21"/>
        </w:rPr>
        <w:t>Shadow run realistic input'u gözler ama effect oluşturmaz. Dry run action ve diff hesaplar. Canary küçük ve representative subset işler. Scope ancak quality, safety ve operational signal stable olduğunda büyür.</w:t>
      </w:r>
    </w:p>
    <w:p>
      <w:pPr>
        <w:spacing w:after="140" w:line="283" w:lineRule="auto"/>
      </w:pPr>
      <w:r>
        <w:rPr>
          <w:rFonts w:ascii="Aptos" w:hAnsi="Aptos"/>
          <w:b w:val="0"/>
          <w:i w:val="0"/>
          <w:color w:val="1A2334"/>
          <w:sz w:val="21"/>
        </w:rPr>
        <w:t>Rollout için downgrade criterion gerekir. Alarm çıkmaması tek başına scale gerekçesi değildir. Missing telemetry, weak sampling veya untested edge case reach'i büyütmemek için doğrudan sebeptir.</w:t>
      </w:r>
    </w:p>
    <w:p>
      <w:pPr>
        <w:keepNext/>
        <w:spacing w:before="320" w:after="120"/>
      </w:pPr>
      <w:r>
        <w:rPr>
          <w:rFonts w:ascii="Georgia" w:hAnsi="Georgia"/>
          <w:b/>
          <w:i w:val="0"/>
          <w:color w:val="1A2334"/>
          <w:sz w:val="32"/>
        </w:rPr>
        <w:t>Yöntem: SCOPE → CLASSIFY → BUDGET → GATE → OBSERVE → STOP → PROVE → IMPROVE</w:t>
      </w:r>
    </w:p>
    <w:p>
      <w:pPr>
        <w:spacing w:after="140" w:line="283" w:lineRule="auto"/>
      </w:pPr>
      <w:r>
        <w:rPr>
          <w:rFonts w:ascii="Aptos" w:hAnsi="Aptos"/>
          <w:b w:val="0"/>
          <w:i w:val="0"/>
          <w:color w:val="1A2334"/>
          <w:sz w:val="21"/>
        </w:rPr>
        <w:t>**SCOPE** target ve data space'i sınırlar. **CLASSIFY** impact ve reversibility'yi değerlendirir. **BUDGET** executable limit koyar. **GATE** approval'ı consequence öncesine yerleştirir. **OBSERVE** log, metric ve trace'i correlate eder. **STOP** deviation'ı external rule ile bitirir. **PROVE** evidence ve provenance saklar. **IMPROVE** threshold'u yalnız review sonrası değiştirir.</w:t>
      </w:r>
    </w:p>
    <w:p>
      <w:pPr>
        <w:spacing w:after="140" w:line="283" w:lineRule="auto"/>
      </w:pPr>
      <w:r>
        <w:rPr>
          <w:rFonts w:ascii="Aptos" w:hAnsi="Aptos"/>
          <w:b w:val="0"/>
          <w:i w:val="0"/>
          <w:color w:val="1A2334"/>
          <w:sz w:val="21"/>
        </w:rPr>
        <w:t>Hedef maximum human participation değil, maximum controllability'dir. Mature automation routine'i quiet ve dependable yapar; exceptional impact'i ise early, explicit ve stoppable hale getirir.</w:t>
      </w:r>
    </w:p>
    <w:p>
      <w:pPr>
        <w:keepNext/>
        <w:spacing w:before="320" w:after="120"/>
      </w:pPr>
      <w:r>
        <w:rPr>
          <w:rFonts w:ascii="Georgia" w:hAnsi="Georgia"/>
          <w:b/>
          <w:i w:val="0"/>
          <w:color w:val="1A2334"/>
          <w:sz w:val="32"/>
        </w:rPr>
        <w:t>Alıştırma: Automation Control Plan tasarla</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Automated process seç; objective, data space ve external effect'i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Sensitivity, reach, reversibility, visibility ve propagation içeren impact profile çıkar.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Autonomy level ata ve gerekçelendir.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En az beş machine-enforceable risk budget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Approval gate'leri yerleştir ve gösterilen evidence'ı yaz.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Metric, trace, log, alert owner ve response time belirle.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Stop, recovery, sampling ve downgrade rule oluştur.</w:t>
            </w:r>
          </w:p>
        </w:tc>
      </w:tr>
    </w:tbl>
    <w:p>
      <w:pPr>
        <w:keepNext/>
        <w:spacing w:before="220" w:after="120"/>
      </w:pPr>
      <w:r>
        <w:rPr>
          <w:rFonts w:ascii="Georgia" w:hAnsi="Georgia"/>
          <w:b/>
          <w:i w:val="0"/>
          <w:color w:val="1A2334"/>
          <w:sz w:val="25"/>
        </w:rPr>
        <w:t>Yansıtma</w:t>
      </w:r>
    </w:p>
    <w:p>
      <w:pPr>
        <w:spacing w:after="140" w:line="283" w:lineRule="auto"/>
      </w:pPr>
      <w:r>
        <w:rPr>
          <w:rFonts w:ascii="Aptos" w:hAnsi="Aptos"/>
          <w:b w:val="0"/>
          <w:i w:val="0"/>
          <w:color w:val="1A2334"/>
          <w:sz w:val="21"/>
        </w:rPr>
        <w:t>Hangi effect bugün team response'undan daha hızlı propagate edebilir? __________________________________</w:t>
      </w:r>
    </w:p>
    <w:p>
      <w:pPr>
        <w:spacing w:after="140" w:line="283" w:lineRule="auto"/>
      </w:pPr>
      <w:r>
        <w:rPr>
          <w:rFonts w:ascii="Aptos" w:hAnsi="Aptos"/>
          <w:b w:val="0"/>
          <w:i w:val="0"/>
          <w:color w:val="1A2334"/>
          <w:sz w:val="21"/>
        </w:rPr>
        <w:t>Hangi approval decisive action'dan ancak sonra geliyor? ______________________________________________</w:t>
      </w:r>
    </w:p>
    <w:p>
      <w:pPr>
        <w:keepNext/>
        <w:spacing w:before="320" w:after="120"/>
      </w:pPr>
      <w:r>
        <w:rPr>
          <w:rFonts w:ascii="Georgia" w:hAnsi="Georgia"/>
          <w:b/>
          <w:i w:val="0"/>
          <w:color w:val="1A2334"/>
          <w:sz w:val="32"/>
        </w:rPr>
        <w:t>Kaynaklar ve mesleki kapsam</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1.0 – Core](https://airc.nist.gov/airmf-resources/airmf/5-sec-core/) – connected AI risk-management function olarak Govern, Map, Measure ve Manage.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Playbook – Govern](https://airc.nist.gov/airmf-resources/playbook/govern/) – organisational foundation olarak documented policy, accountability ve monitoring.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SP 800-53 Rev. 5](https://csrc.nist.gov/pubs/sp/800/53/r5/upd1/final) – least privilege, dual authorisation, audit, continuous monitoring ve incident response control'leri.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[OWASP LLM06:2025 Excessive Agency](https://genai.owasp.org/llmrisk/llm062025-excessive-agency/) – agentic system'da excessive functionality, permission ve autonomy riskleri.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[OpenTelemetry – Observability Primer](https://opentelemetry.io/docs/concepts/observability-primer/) – system behaviour için correlated signal olarak log, metric ve trace.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[SRE Workbook – Alerting on SLOs](https://sre.google/workbook/alerting-on-slos/) – dependable service objective için symptom-oriented alerting ve burn-rate yaklaşımı.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entity, activity ve accountable agent için provenance model.</w:t>
      </w:r>
    </w:p>
    <w:p>
      <w:pPr>
        <w:spacing w:after="140" w:line="283" w:lineRule="auto"/>
      </w:pPr>
      <w:r>
        <w:rPr>
          <w:rFonts w:ascii="Aptos" w:hAnsi="Aptos"/>
          <w:b w:val="0"/>
          <w:i w:val="0"/>
          <w:color w:val="1A2334"/>
          <w:sz w:val="21"/>
        </w:rPr>
        <w:t>*Kapsam:* Control level'lar product-independent reference model'dir; blanket legal veya compliance approval değildir. Concrete threshold; impact, data class, reversibility, regulatory context ve organisational risk tolerance'a göre belirlenmelidir. Editoryal ve teknik inceleme: 17 Temmuz 2026.</w:t>
      </w:r>
    </w:p>
    <w:p>
      <w:r>
        <w:br w:type="page"/>
      </w:r>
    </w:p>
    <w:p>
      <w:pPr>
        <w:keepNext/>
        <w:spacing w:before="320" w:after="120"/>
      </w:pPr>
      <w:r>
        <w:rPr>
          <w:rFonts w:ascii="Georgia" w:hAnsi="Georgia"/>
          <w:b/>
          <w:i w:val="0"/>
          <w:color w:val="1A2334"/>
          <w:sz w:val="32"/>
        </w:rPr>
        <w:t>Çalışma şablonu: Automation Control Plan</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Alan</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Kayıt</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Process / objective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Impact profile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Autonomy level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Risk budget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Approval gate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Signal / alert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Stop / recovery</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Otomasyon kontrol ihtiyacını artırır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