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DENEME · YAPAY ZEKÂ &amp; İŞ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Büyük bir iş, birçok küçük adımdır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Tek bir komut büyük bir işi bir çırpıda bitirmez.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8 DK OKUMA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Büyük bir görev doğal ekleri boyunca adımlara kesilir. Her adımın, bir sonraki üzerine kurulmadan önce kontrol edebileceğin tam olarak bir sonucu – ve kendi kabulü – vardır.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Neden büyük bir komut başarısız olur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Büyük bir istek birçok kararı tek bir adımda toplar. Bir noktada eksik varsa, hata görünmeden tüm sonuca yayılır. Böyle bir sonucu ancak bütün olarak kontrol edebilirsin.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Doğru kesim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Bölmek, görevi doğal ekleri boyunca kesmektir. Her adımın, bir sonraki başlamadan önce değerlendirebileceğin bir sonucu vardır.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Doğru kesim, ardından şunu sorabildiğin kesimdir: bu doğru mu? Tek bakışta kontrol edilemiyorsa çok büyük; çalışmaktan çok yönetmekse çok küçük.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Her adımın bir kabulü vardır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Her adımın kısa bir kabule ihtiyacı vardır – çoğu zaman bir evet/hayır sorusu yeter. Her adımdan sonra bakan, geç ve pahalı yerine erken ve ucuz düzeltir.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Adım planı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ADIM PLANI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**Hedef**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Tek cümlede o bir sonuç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**Adım 1**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 → teslim eder: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**Adım 2**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 → teslim eder: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**Adım 3**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 → teslim eder: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**Adım başına kabul**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Evet/hayır sorusu: adım oturuyor mu?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**Dur**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 eksik ya da belirsizse → sor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Bölmek işi uzatmaz, güvenli kılar. Yol boyunca birçok küçük sonucu kontrol edersin ve her an nerede olduğunu bilirsin.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Çalışma kâğıdı: Gerçek bir görevi böl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Günlük işinden tekrarlanan bir görev al ve her biri bir sonuç ve bir kabul içeren adımlara böl.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Görevi adlandır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Büyük görevi tek cümlede yaz.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Eklerden kes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Onu üç ila beş adıma böl, her biri bir sonuçla.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Kabulü belirle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Her adım için kısa bir evet/hayır sorusu not et.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Durağı belirle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Tahmin etmek yerine nerede durduğuna karar ver.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Tek cümlede büyük görevim: ______________________________________________________________________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İlk kontrol edeceğim adım: 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