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50" w:lineRule="auto"/>
      </w:pPr>
      <w:r>
        <w:rPr>
          <w:rFonts w:ascii="Arial" w:hAnsi="Arial"/>
          <w:b/>
          <w:i w:val="0"/>
          <w:color w:val="2954E8"/>
          <w:sz w:val="16"/>
        </w:rPr>
        <w:t>AI ETHICS</w:t>
      </w:r>
    </w:p>
    <w:p>
      <w:pPr>
        <w:pStyle w:val="Title"/>
        <w:spacing w:after="40"/>
      </w:pPr>
      <w:r>
        <w:rPr>
          <w:rFonts w:ascii="Arial" w:hAnsi="Arial"/>
          <w:b/>
          <w:i w:val="0"/>
          <w:color w:val="000000"/>
          <w:sz w:val="44"/>
        </w:rPr>
        <w:t>Examining Values and Conflicts</w:t>
      </w:r>
    </w:p>
    <w:p>
      <w:pPr>
        <w:spacing w:before="0" w:after="120" w:line="250" w:lineRule="auto"/>
      </w:pPr>
      <w:r>
        <w:rPr>
          <w:rFonts w:ascii="Arial" w:hAnsi="Arial"/>
          <w:b w:val="0"/>
          <w:i w:val="0"/>
          <w:color w:val="5C6472"/>
          <w:sz w:val="22"/>
        </w:rPr>
        <w:t>Worksheet for adapting AI learning materials linguistically</w:t>
      </w:r>
    </w:p>
    <w:p>
      <w:pPr>
        <w:spacing w:before="0" w:after="80" w:line="250" w:lineRule="auto"/>
      </w:pPr>
      <w:r>
        <w:rPr>
          <w:rFonts w:ascii="Arial" w:hAnsi="Arial"/>
          <w:b w:val="0"/>
          <w:i w:val="0"/>
          <w:color w:val="202633"/>
          <w:sz w:val="16"/>
        </w:rPr>
        <w:t>This sheet helps an SME team or learning group make competing reasons visible when adapting AI learning materials linguistically. It distinguishes verifiable text changes, normative value judgements, and organisational rules. The example is wholly fictional. It is neither legal advice nor approval for a real use of AI.</w:t>
      </w:r>
    </w:p>
    <w:p>
      <w:pPr>
        <w:spacing w:before="0" w:after="80" w:line="250" w:lineRule="auto"/>
      </w:pPr>
      <w:r>
        <w:rPr>
          <w:rFonts w:ascii="Arial" w:hAnsi="Arial"/>
          <w:b/>
          <w:i w:val="0"/>
          <w:color w:val="10203C"/>
          <w:sz w:val="16"/>
        </w:rPr>
        <w:t>Working time: 35–45 minutes individually or in small groups. The 90-minute course version is on page 3. Do not use real names, personal data, or content from private transcripts.</w:t>
      </w:r>
    </w:p>
    <w:p>
      <w:pPr>
        <w:pStyle w:val="Heading1"/>
      </w:pPr>
      <w:r>
        <w:rPr>
          <w:rFonts w:ascii="Arial" w:hAnsi="Arial"/>
          <w:b/>
          <w:i w:val="0"/>
          <w:color w:val="000000"/>
          <w:sz w:val="26"/>
        </w:rPr>
        <w:t>Completed Example</w:t>
      </w:r>
    </w:p>
    <w:p>
      <w:pPr>
        <w:spacing w:before="0" w:after="60" w:line="250" w:lineRule="auto"/>
      </w:pPr>
      <w:r>
        <w:rPr>
          <w:rFonts w:ascii="Arial" w:hAnsi="Arial"/>
          <w:b w:val="0"/>
          <w:i w:val="0"/>
          <w:color w:val="202633"/>
          <w:sz w:val="15"/>
        </w:rPr>
        <w:t>A fictional small continuing-education provider wants to offer an internal learning module on responsible AI use in a more understandable and multilingual form. The team is considering using AI to prepare simplified explanations and translation drafts. No real learner data or observed effects underlie the example.</w:t>
      </w:r>
    </w:p>
    <w:tbl>
      <w:tblPr>
        <w:tblW w:type="auto" w:w="0"/>
        <w:jc w:val="center"/>
        <w:tblLayout w:type="fixed"/>
        <w:tblLook w:firstColumn="1" w:firstRow="1" w:lastColumn="0" w:lastRow="0" w:noHBand="0" w:noVBand="1" w:val="04A0"/>
      </w:tblPr>
      <w:tblGrid>
        <w:gridCol w:w="5018"/>
        <w:gridCol w:w="5018"/>
      </w:tblGrid>
      <w:tr>
        <w:trPr>
          <w:tblHeader w:val="true"/>
          <w:cantSplit/>
        </w:trPr>
        <w:tc>
          <w:tcPr>
            <w:tcW w:type="dxa" w:w="241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0" w:type="dxa"/>
              <w:start w:w="90" w:type="dxa"/>
              <w:bottom w:w="60" w:type="dxa"/>
              <w:end w:w="90" w:type="dxa"/>
            </w:tcMar>
          </w:tcPr>
          <w:p>
            <w:pPr>
              <w:spacing w:after="0" w:line="240" w:lineRule="auto"/>
              <w:jc w:val="center"/>
            </w:pPr>
            <w:r/>
            <w:r>
              <w:rPr>
                <w:rFonts w:ascii="Arial" w:hAnsi="Arial"/>
                <w:b/>
                <w:i w:val="0"/>
                <w:color w:val="FFFFFF"/>
                <w:sz w:val="13"/>
              </w:rPr>
              <w:t>Work step</w:t>
            </w:r>
          </w:p>
        </w:tc>
        <w:tc>
          <w:tcPr>
            <w:tcW w:type="dxa" w:w="761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0" w:type="dxa"/>
              <w:start w:w="90" w:type="dxa"/>
              <w:bottom w:w="60" w:type="dxa"/>
              <w:end w:w="90" w:type="dxa"/>
            </w:tcMar>
          </w:tcPr>
          <w:p>
            <w:pPr>
              <w:spacing w:after="0" w:line="240" w:lineRule="auto"/>
              <w:jc w:val="center"/>
            </w:pPr>
            <w:r/>
            <w:r>
              <w:rPr>
                <w:rFonts w:ascii="Arial" w:hAnsi="Arial"/>
                <w:b/>
                <w:i w:val="0"/>
                <w:color w:val="FFFFFF"/>
                <w:sz w:val="13"/>
              </w:rPr>
              <w:t>Example response</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i w:val="0"/>
                <w:color w:val="202633"/>
                <w:sz w:val="13"/>
              </w:rPr>
              <w:t>Initial question</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3"/>
              </w:rPr>
              <w:t>How can AI make the text equally understandable for all learners?</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i w:val="0"/>
                <w:color w:val="202633"/>
                <w:sz w:val="13"/>
              </w:rPr>
              <w:t>F-A · Terms and assumptions</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3"/>
              </w:rPr>
              <w:t>“Equal” can mean verbatim, equivalent in meaning, or related to the same learning objectives. “Understandable” can mean shorter sentences, explained technical terms, or different examples. The question already assumes that AI is necessary and that “equally understandable” can be established without feedback from learners.</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i w:val="0"/>
                <w:color w:val="202633"/>
                <w:sz w:val="13"/>
              </w:rPr>
              <w:t>Own question card</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3"/>
              </w:rPr>
              <w:t>Which core statements and limitations must remain the same? Which explanation may be adapted? Who checks shifts in meaning? Which feedback could change a version? Is a human translation or a reviewed glossary sufficient?</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i w:val="0"/>
                <w:color w:val="202633"/>
                <w:sz w:val="13"/>
              </w:rPr>
              <w:t>F-B · Hypothesis 1</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3"/>
              </w:rPr>
              <w:t>A shared reference protects comparability and makes version control easier. Possible weakness: a uniform text can overlook language barriers and different levels of prior knowledge.</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i w:val="0"/>
                <w:color w:val="202633"/>
                <w:sz w:val="13"/>
              </w:rPr>
              <w:t>F-B · Hypothesis 2</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3"/>
              </w:rPr>
              <w:t>Adapted explanations could reduce barriers to access. This is an educational hypothesis, not a demonstrated effect. Risk: conditions, uncertainties, or counter-positions can shift during rewriting.</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i w:val="0"/>
                <w:color w:val="202633"/>
                <w:sz w:val="13"/>
              </w:rPr>
              <w:t>Third option</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3"/>
              </w:rPr>
              <w:t>Expert translation or editorial work without AI remains an option to be considered on equal terms. The effort and time to provide it are open in the specific case.</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i w:val="0"/>
                <w:color w:val="202633"/>
                <w:sz w:val="13"/>
              </w:rPr>
              <w:t>Meta-question</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3"/>
              </w:rPr>
              <w:t>Which core of meaning must be preserved in every version, and what may change so that access does not come at the expense of the statement?</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i w:val="0"/>
                <w:color w:val="202633"/>
                <w:sz w:val="13"/>
              </w:rPr>
              <w:t>F-D · Counter-check</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3"/>
              </w:rPr>
              <w:t>A shared source guarantees neither the same understanding nor a translation with the same meaning. Without suitable review, an adapted version must not be described as more understandable.</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i w:val="0"/>
                <w:color w:val="202633"/>
                <w:sz w:val="13"/>
              </w:rPr>
              <w:t>F-C · Refined question</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3"/>
              </w:rPr>
              <w:t>Which parts of AI-assisted simplified or translated learning material must remain equivalent in meaning, which explanations may be adapted, and what specialist and language review is required before use?</w:t>
            </w:r>
          </w:p>
        </w:tc>
      </w:tr>
    </w:tbl>
    <w:p>
      <w:pPr>
        <w:spacing w:after="40" w:line="96" w:lineRule="auto"/>
      </w:pPr>
      <w:r>
        <w:rPr>
          <w:rFonts w:ascii="Arial" w:hAnsi="Arial"/>
          <w:b w:val="0"/>
          <w:i w:val="0"/>
          <w:color w:val="202633"/>
          <w:sz w:val="4"/>
        </w:rPr>
        <w:t xml:space="preserve"> </w:t>
      </w:r>
    </w:p>
    <w:p>
      <w:pPr>
        <w:pStyle w:val="Heading1"/>
      </w:pPr>
      <w:r>
        <w:rPr>
          <w:rFonts w:ascii="Arial" w:hAnsi="Arial"/>
          <w:b/>
          <w:i w:val="0"/>
          <w:color w:val="000000"/>
          <w:sz w:val="26"/>
        </w:rPr>
        <w:t>Consultation and Provisional Recommendation</w:t>
      </w:r>
    </w:p>
    <w:tbl>
      <w:tblPr>
        <w:tblW w:type="auto" w:w="0"/>
        <w:jc w:val="center"/>
        <w:tblLayout w:type="fixed"/>
        <w:tblLook w:firstColumn="1" w:firstRow="1" w:lastColumn="0" w:lastRow="0" w:noHBand="0" w:noVBand="1" w:val="04A0"/>
      </w:tblPr>
      <w:tblGrid>
        <w:gridCol w:w="5018"/>
        <w:gridCol w:w="5018"/>
      </w:tblGrid>
      <w:tr>
        <w:trPr>
          <w:tblHeader w:val="true"/>
          <w:cantSplit/>
        </w:trPr>
        <w:tc>
          <w:tcPr>
            <w:tcW w:type="dxa" w:w="241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0" w:type="dxa"/>
              <w:start w:w="90" w:type="dxa"/>
              <w:bottom w:w="60" w:type="dxa"/>
              <w:end w:w="90" w:type="dxa"/>
            </w:tcMar>
          </w:tcPr>
          <w:p>
            <w:pPr>
              <w:spacing w:after="0" w:line="240" w:lineRule="auto"/>
              <w:jc w:val="center"/>
            </w:pPr>
            <w:r/>
            <w:r>
              <w:rPr>
                <w:rFonts w:ascii="Arial" w:hAnsi="Arial"/>
                <w:b/>
                <w:i w:val="0"/>
                <w:color w:val="FFFFFF"/>
                <w:sz w:val="13"/>
              </w:rPr>
              <w:t>K basic cycle</w:t>
            </w:r>
          </w:p>
        </w:tc>
        <w:tc>
          <w:tcPr>
            <w:tcW w:type="dxa" w:w="761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0" w:type="dxa"/>
              <w:start w:w="90" w:type="dxa"/>
              <w:bottom w:w="60" w:type="dxa"/>
              <w:end w:w="90" w:type="dxa"/>
            </w:tcMar>
          </w:tcPr>
          <w:p>
            <w:pPr>
              <w:spacing w:after="0" w:line="240" w:lineRule="auto"/>
              <w:jc w:val="center"/>
            </w:pPr>
            <w:r/>
            <w:r>
              <w:rPr>
                <w:rFonts w:ascii="Arial" w:hAnsi="Arial"/>
                <w:b/>
                <w:i w:val="0"/>
                <w:color w:val="FFFFFF"/>
                <w:sz w:val="13"/>
              </w:rPr>
              <w:t>Application in the fictional case</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i w:val="0"/>
                <w:color w:val="202633"/>
                <w:sz w:val="13"/>
              </w:rPr>
              <w:t>Exploration</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3"/>
              </w:rPr>
              <w:t>Clarify purpose, the versions to be created, what counts as a binding core statement, affected perspectives, and responsibility for withdrawal.</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i w:val="0"/>
                <w:color w:val="202633"/>
                <w:sz w:val="13"/>
              </w:rPr>
              <w:t>Reflection and analysis</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3"/>
              </w:rPr>
              <w:t>Examine comparability, access, preservation of meaning, and review effort together with the strongest counter-position. Objections must be able to change conditions in practice.</w:t>
            </w:r>
          </w:p>
        </w:tc>
      </w:tr>
      <w:tr>
        <w:trPr>
          <w:cantSplit/>
        </w:trPr>
        <w:tc>
          <w:tcPr>
            <w:tcW w:type="dxa" w:w="241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i w:val="0"/>
                <w:color w:val="202633"/>
                <w:sz w:val="13"/>
              </w:rPr>
              <w:t>Decision and recommendation</w:t>
            </w:r>
          </w:p>
        </w:tc>
        <w:tc>
          <w:tcPr>
            <w:tcW w:type="dxa" w:w="761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3"/>
              </w:rPr>
              <w:t>Retain the reviewed source text as reference. Use AI outputs at most as labelled, non-binding explanatory drafts; do not silently change conditions or core statements.</w:t>
            </w:r>
          </w:p>
        </w:tc>
      </w:tr>
      <w:tr>
        <w:trPr>
          <w:cantSplit/>
        </w:trPr>
        <w:tc>
          <w:tcPr>
            <w:tcW w:type="dxa" w:w="241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i w:val="0"/>
                <w:color w:val="202633"/>
                <w:sz w:val="13"/>
              </w:rPr>
              <w:t>Feedback and evaluation</w:t>
            </w:r>
          </w:p>
        </w:tc>
        <w:tc>
          <w:tcPr>
            <w:tcW w:type="dxa" w:w="761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3"/>
              </w:rPr>
              <w:t>Review feedback and text deviations. A missing limitation, a recurring comprehension question, or a new version can reopen the decision.</w:t>
            </w:r>
          </w:p>
        </w:tc>
      </w:tr>
    </w:tbl>
    <w:p>
      <w:pPr>
        <w:spacing w:after="40" w:line="96" w:lineRule="auto"/>
      </w:pPr>
      <w:r>
        <w:rPr>
          <w:rFonts w:ascii="Arial" w:hAnsi="Arial"/>
          <w:b w:val="0"/>
          <w:i w:val="0"/>
          <w:color w:val="202633"/>
          <w:sz w:val="4"/>
        </w:rPr>
        <w:t xml:space="preserve"> </w:t>
      </w:r>
    </w:p>
    <w:p>
      <w:pPr>
        <w:spacing w:before="0" w:after="0" w:line="250" w:lineRule="auto"/>
      </w:pPr>
      <w:r>
        <w:rPr>
          <w:rFonts w:ascii="Arial" w:hAnsi="Arial"/>
          <w:b/>
          <w:i w:val="0"/>
          <w:color w:val="10203C"/>
          <w:sz w:val="15"/>
        </w:rPr>
        <w:t>Open dissent: A group may remain divided over whether a simplification preserves the core of meaning. Record the objection, possible costs, and the reason for provisionally proceeding or stopping. Agreement is not a required field.</w:t>
      </w:r>
    </w:p>
    <w:p>
      <w:r>
        <w:br w:type="page"/>
      </w:r>
    </w:p>
    <w:p>
      <w:pPr>
        <w:spacing w:before="0" w:after="40" w:line="250" w:lineRule="auto"/>
      </w:pPr>
      <w:r>
        <w:rPr>
          <w:rFonts w:ascii="Arial" w:hAnsi="Arial"/>
          <w:b/>
          <w:i w:val="0"/>
          <w:color w:val="2954E8"/>
          <w:sz w:val="16"/>
        </w:rPr>
        <w:t>AI ETHICS</w:t>
      </w:r>
    </w:p>
    <w:p>
      <w:pPr>
        <w:pStyle w:val="Heading1"/>
      </w:pPr>
      <w:r>
        <w:rPr>
          <w:rFonts w:ascii="Arial" w:hAnsi="Arial"/>
          <w:b/>
          <w:i w:val="0"/>
          <w:color w:val="000000"/>
          <w:sz w:val="26"/>
        </w:rPr>
        <w:t>Your Own Value Conflict Map</w:t>
      </w:r>
    </w:p>
    <w:p>
      <w:pPr>
        <w:spacing w:before="0" w:after="100" w:line="250" w:lineRule="auto"/>
      </w:pPr>
      <w:r>
        <w:rPr>
          <w:rFonts w:ascii="Arial" w:hAnsi="Arial"/>
          <w:b w:val="0"/>
          <w:i w:val="0"/>
          <w:color w:val="202633"/>
          <w:sz w:val="16"/>
        </w:rPr>
        <w:t>Describe the case concisely and without real personal data. Mark open questions rather than inventing answers.</w:t>
      </w:r>
    </w:p>
    <w:p>
      <w:pPr>
        <w:spacing w:after="40" w:line="240" w:lineRule="auto"/>
      </w:pPr>
      <w:r>
        <w:rPr>
          <w:rFonts w:ascii="Arial" w:hAnsi="Arial"/>
          <w:b/>
          <w:i w:val="0"/>
          <w:color w:val="10203C"/>
          <w:sz w:val="16"/>
        </w:rPr>
        <w:t>Case in one sentence, without real personal data</w:t>
      </w:r>
    </w:p>
    <w:p>
      <w:pPr>
        <w:spacing w:after="40" w:line="240" w:lineRule="auto"/>
      </w:pPr>
      <w:r>
        <w:rPr>
          <w:rFonts w:ascii="Arial" w:hAnsi="Arial"/>
          <w:b w:val="0"/>
          <w:i w:val="0"/>
          <w:color w:val="AAB2C2"/>
          <w:sz w:val="16"/>
        </w:rPr>
        <w:t>________________________________________________________________________________</w:t>
      </w:r>
    </w:p>
    <w:tbl>
      <w:tblPr>
        <w:tblW w:type="auto" w:w="0"/>
        <w:jc w:val="center"/>
        <w:tblLayout w:type="fixed"/>
        <w:tblLook w:firstColumn="1" w:firstRow="1" w:lastColumn="0" w:lastRow="0" w:noHBand="0" w:noVBand="1" w:val="04A0"/>
      </w:tblPr>
      <w:tblGrid>
        <w:gridCol w:w="5018"/>
        <w:gridCol w:w="5018"/>
      </w:tblGrid>
      <w:tr>
        <w:trPr>
          <w:tblHeader w:val="true"/>
          <w:cantSplit/>
        </w:trPr>
        <w:tc>
          <w:tcPr>
            <w:tcW w:type="dxa" w:w="3816"/>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5" w:type="dxa"/>
              <w:start w:w="90" w:type="dxa"/>
              <w:bottom w:w="35" w:type="dxa"/>
              <w:end w:w="90" w:type="dxa"/>
            </w:tcMar>
          </w:tcPr>
          <w:p>
            <w:pPr>
              <w:spacing w:after="0" w:line="240" w:lineRule="auto"/>
              <w:jc w:val="center"/>
            </w:pPr>
            <w:r/>
            <w:r>
              <w:rPr>
                <w:rFonts w:ascii="Arial" w:hAnsi="Arial"/>
                <w:b/>
                <w:i w:val="0"/>
                <w:color w:val="FFFFFF"/>
                <w:sz w:val="15"/>
              </w:rPr>
              <w:t>Boundary</w:t>
            </w:r>
          </w:p>
        </w:tc>
        <w:tc>
          <w:tcPr>
            <w:tcW w:type="dxa" w:w="6221"/>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5" w:type="dxa"/>
              <w:start w:w="90" w:type="dxa"/>
              <w:bottom w:w="35" w:type="dxa"/>
              <w:end w:w="90" w:type="dxa"/>
            </w:tcMar>
          </w:tcPr>
          <w:p>
            <w:pPr>
              <w:spacing w:after="0" w:line="240" w:lineRule="auto"/>
              <w:jc w:val="center"/>
            </w:pPr>
            <w:r/>
            <w:r>
              <w:rPr>
                <w:rFonts w:ascii="Arial" w:hAnsi="Arial"/>
                <w:b/>
                <w:i w:val="0"/>
                <w:color w:val="FFFFFF"/>
                <w:sz w:val="15"/>
              </w:rPr>
              <w:t>Entry</w:t>
            </w:r>
          </w:p>
        </w:tc>
      </w:tr>
      <w:tr>
        <w:trPr>
          <w:cantSplit/>
        </w:trPr>
        <w:tc>
          <w:tcPr>
            <w:tcW w:type="dxa" w:w="381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i w:val="0"/>
                <w:color w:val="202633"/>
                <w:sz w:val="15"/>
              </w:rPr>
              <w:t>Which decision is being prepared?</w:t>
            </w:r>
          </w:p>
        </w:tc>
        <w:tc>
          <w:tcPr>
            <w:tcW w:type="dxa" w:w="622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5"/>
              </w:rPr>
            </w:r>
          </w:p>
        </w:tc>
      </w:tr>
      <w:tr>
        <w:trPr>
          <w:cantSplit/>
        </w:trPr>
        <w:tc>
          <w:tcPr>
            <w:tcW w:type="dxa" w:w="381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i w:val="0"/>
                <w:color w:val="202633"/>
                <w:sz w:val="15"/>
              </w:rPr>
              <w:t>What remains outside the use of AI?</w:t>
            </w:r>
          </w:p>
        </w:tc>
        <w:tc>
          <w:tcPr>
            <w:tcW w:type="dxa" w:w="6221"/>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5"/>
              </w:rPr>
            </w:r>
          </w:p>
        </w:tc>
      </w:tr>
      <w:tr>
        <w:trPr>
          <w:cantSplit/>
        </w:trPr>
        <w:tc>
          <w:tcPr>
            <w:tcW w:type="dxa" w:w="381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i w:val="0"/>
                <w:color w:val="202633"/>
                <w:sz w:val="15"/>
              </w:rPr>
              <w:t>Which human non-AI option is available?</w:t>
            </w:r>
          </w:p>
        </w:tc>
        <w:tc>
          <w:tcPr>
            <w:tcW w:type="dxa" w:w="622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5"/>
              </w:rPr>
            </w:r>
          </w:p>
        </w:tc>
      </w:tr>
    </w:tbl>
    <w:p>
      <w:pPr>
        <w:spacing w:after="20" w:line="96" w:lineRule="auto"/>
      </w:pPr>
      <w:r>
        <w:rPr>
          <w:rFonts w:ascii="Arial" w:hAnsi="Arial"/>
          <w:b w:val="0"/>
          <w:i w:val="0"/>
          <w:color w:val="202633"/>
          <w:sz w:val="4"/>
        </w:rPr>
        <w:t xml:space="preserve"> </w:t>
      </w:r>
    </w:p>
    <w:p>
      <w:pPr>
        <w:pStyle w:val="Heading1"/>
      </w:pPr>
      <w:r>
        <w:rPr>
          <w:rFonts w:ascii="Arial" w:hAnsi="Arial"/>
          <w:b/>
          <w:i w:val="0"/>
          <w:color w:val="000000"/>
          <w:sz w:val="26"/>
        </w:rPr>
        <w:t>F-A · Open the Question</w:t>
      </w:r>
    </w:p>
    <w:p>
      <w:pPr>
        <w:spacing w:after="40" w:line="240" w:lineRule="auto"/>
      </w:pPr>
      <w:r>
        <w:rPr>
          <w:rFonts w:ascii="Arial" w:hAnsi="Arial"/>
          <w:b/>
          <w:i w:val="0"/>
          <w:color w:val="10203C"/>
          <w:sz w:val="16"/>
        </w:rPr>
        <w:t>Which terms are unclear? Which assumption is already embedded in the initial question?</w:t>
      </w:r>
    </w:p>
    <w:p>
      <w:pPr>
        <w:spacing w:after="40" w:line="240" w:lineRule="auto"/>
      </w:pPr>
      <w:r>
        <w:rPr>
          <w:rFonts w:ascii="Arial" w:hAnsi="Arial"/>
          <w:b w:val="0"/>
          <w:i w:val="0"/>
          <w:color w:val="AAB2C2"/>
          <w:sz w:val="16"/>
        </w:rPr>
        <w:t>________________________________________________________________________________</w:t>
      </w:r>
    </w:p>
    <w:p>
      <w:pPr>
        <w:spacing w:after="40" w:line="240" w:lineRule="auto"/>
      </w:pPr>
      <w:r>
        <w:rPr>
          <w:rFonts w:ascii="Arial" w:hAnsi="Arial"/>
          <w:b w:val="0"/>
          <w:i w:val="0"/>
          <w:color w:val="AAB2C2"/>
          <w:sz w:val="16"/>
        </w:rPr>
        <w:t>________________________________________________________________________________</w:t>
      </w:r>
    </w:p>
    <w:tbl>
      <w:tblPr>
        <w:tblW w:type="auto" w:w="0"/>
        <w:jc w:val="center"/>
        <w:tblLayout w:type="fixed"/>
        <w:tblLook w:firstColumn="1" w:firstRow="1" w:lastColumn="0" w:lastRow="0" w:noHBand="0" w:noVBand="1" w:val="04A0"/>
      </w:tblPr>
      <w:tblGrid>
        <w:gridCol w:w="5018"/>
        <w:gridCol w:w="5018"/>
      </w:tblGrid>
      <w:tr>
        <w:trPr>
          <w:tblHeader w:val="true"/>
          <w:cantSplit/>
        </w:trPr>
        <w:tc>
          <w:tcPr>
            <w:tcW w:type="dxa" w:w="460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5" w:type="dxa"/>
              <w:start w:w="90" w:type="dxa"/>
              <w:bottom w:w="35" w:type="dxa"/>
              <w:end w:w="90" w:type="dxa"/>
            </w:tcMar>
          </w:tcPr>
          <w:p>
            <w:pPr>
              <w:spacing w:after="0" w:line="240" w:lineRule="auto"/>
              <w:jc w:val="center"/>
            </w:pPr>
            <w:r/>
            <w:r>
              <w:rPr>
                <w:rFonts w:ascii="Arial" w:hAnsi="Arial"/>
                <w:b/>
                <w:i w:val="0"/>
                <w:color w:val="FFFFFF"/>
                <w:sz w:val="14"/>
              </w:rPr>
              <w:t>Type of question</w:t>
            </w:r>
          </w:p>
        </w:tc>
        <w:tc>
          <w:tcPr>
            <w:tcW w:type="dxa" w:w="542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5" w:type="dxa"/>
              <w:start w:w="90" w:type="dxa"/>
              <w:bottom w:w="35" w:type="dxa"/>
              <w:end w:w="90" w:type="dxa"/>
            </w:tcMar>
          </w:tcPr>
          <w:p>
            <w:pPr>
              <w:spacing w:after="0" w:line="240" w:lineRule="auto"/>
              <w:jc w:val="center"/>
            </w:pPr>
            <w:r/>
            <w:r>
              <w:rPr>
                <w:rFonts w:ascii="Arial" w:hAnsi="Arial"/>
                <w:b/>
                <w:i w:val="0"/>
                <w:color w:val="FFFFFF"/>
                <w:sz w:val="14"/>
              </w:rPr>
              <w:t>Your question or open point</w:t>
            </w:r>
          </w:p>
        </w:tc>
      </w:tr>
      <w:tr>
        <w:trPr>
          <w:cantSplit/>
        </w:trPr>
        <w:tc>
          <w:tcPr>
            <w:tcW w:type="dxa" w:w="460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i w:val="0"/>
                <w:color w:val="202633"/>
                <w:sz w:val="14"/>
              </w:rPr>
              <w:t>Empirical: What can be checked in the text or in a reading sample?</w:t>
            </w:r>
          </w:p>
        </w:tc>
        <w:tc>
          <w:tcPr>
            <w:tcW w:type="dxa" w:w="542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r>
      <w:tr>
        <w:trPr>
          <w:cantSplit/>
        </w:trPr>
        <w:tc>
          <w:tcPr>
            <w:tcW w:type="dxa" w:w="460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i w:val="0"/>
                <w:color w:val="202633"/>
                <w:sz w:val="14"/>
              </w:rPr>
              <w:t>Normative: Which reasons or boundaries are disputed?</w:t>
            </w:r>
          </w:p>
        </w:tc>
        <w:tc>
          <w:tcPr>
            <w:tcW w:type="dxa" w:w="542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r>
      <w:tr>
        <w:trPr>
          <w:cantSplit/>
        </w:trPr>
        <w:tc>
          <w:tcPr>
            <w:tcW w:type="dxa" w:w="460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i w:val="0"/>
                <w:color w:val="202633"/>
                <w:sz w:val="14"/>
              </w:rPr>
              <w:t>Organisational: Who decides, reviews, objects, or withdraws?</w:t>
            </w:r>
          </w:p>
        </w:tc>
        <w:tc>
          <w:tcPr>
            <w:tcW w:type="dxa" w:w="542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r>
    </w:tbl>
    <w:p>
      <w:pPr>
        <w:spacing w:after="20" w:line="96" w:lineRule="auto"/>
      </w:pPr>
      <w:r>
        <w:rPr>
          <w:rFonts w:ascii="Arial" w:hAnsi="Arial"/>
          <w:b w:val="0"/>
          <w:i w:val="0"/>
          <w:color w:val="202633"/>
          <w:sz w:val="4"/>
        </w:rPr>
        <w:t xml:space="preserve"> </w:t>
      </w:r>
    </w:p>
    <w:p>
      <w:pPr>
        <w:pStyle w:val="Heading1"/>
      </w:pPr>
      <w:r>
        <w:rPr>
          <w:rFonts w:ascii="Arial" w:hAnsi="Arial"/>
          <w:b/>
          <w:i w:val="0"/>
          <w:color w:val="000000"/>
          <w:sz w:val="26"/>
        </w:rPr>
        <w:t>F-B · Two Defensible Perspectives</w:t>
      </w:r>
    </w:p>
    <w:tbl>
      <w:tblPr>
        <w:tblW w:type="auto" w:w="0"/>
        <w:jc w:val="center"/>
        <w:tblLayout w:type="fixed"/>
        <w:tblLook w:firstColumn="1" w:firstRow="1" w:lastColumn="0" w:lastRow="0" w:noHBand="0" w:noVBand="1" w:val="04A0"/>
      </w:tblPr>
      <w:tblGrid>
        <w:gridCol w:w="3346"/>
        <w:gridCol w:w="3346"/>
        <w:gridCol w:w="3346"/>
      </w:tblGrid>
      <w:tr>
        <w:trPr>
          <w:tblHeader w:val="true"/>
          <w:cantSplit/>
        </w:trPr>
        <w:tc>
          <w:tcPr>
            <w:tcW w:type="dxa" w:w="3384"/>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5" w:type="dxa"/>
              <w:start w:w="90" w:type="dxa"/>
              <w:bottom w:w="35" w:type="dxa"/>
              <w:end w:w="90" w:type="dxa"/>
            </w:tcMar>
          </w:tcPr>
          <w:p>
            <w:pPr>
              <w:spacing w:after="0" w:line="240" w:lineRule="auto"/>
              <w:jc w:val="center"/>
            </w:pPr>
            <w:r/>
            <w:r>
              <w:rPr>
                <w:rFonts w:ascii="Arial" w:hAnsi="Arial"/>
                <w:b/>
                <w:i w:val="0"/>
                <w:color w:val="FFFFFF"/>
                <w:sz w:val="14"/>
              </w:rPr>
              <w:t>Area of review</w:t>
            </w:r>
          </w:p>
        </w:tc>
        <w:tc>
          <w:tcPr>
            <w:tcW w:type="dxa" w:w="3326"/>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5" w:type="dxa"/>
              <w:start w:w="90" w:type="dxa"/>
              <w:bottom w:w="35" w:type="dxa"/>
              <w:end w:w="90" w:type="dxa"/>
            </w:tcMar>
          </w:tcPr>
          <w:p>
            <w:pPr>
              <w:spacing w:after="0" w:line="240" w:lineRule="auto"/>
              <w:jc w:val="center"/>
            </w:pPr>
            <w:r/>
            <w:r>
              <w:rPr>
                <w:rFonts w:ascii="Arial" w:hAnsi="Arial"/>
                <w:b/>
                <w:i w:val="0"/>
                <w:color w:val="FFFFFF"/>
                <w:sz w:val="14"/>
              </w:rPr>
              <w:t>Perspective A</w:t>
            </w:r>
          </w:p>
        </w:tc>
        <w:tc>
          <w:tcPr>
            <w:tcW w:type="dxa" w:w="3326"/>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5" w:type="dxa"/>
              <w:start w:w="90" w:type="dxa"/>
              <w:bottom w:w="35" w:type="dxa"/>
              <w:end w:w="90" w:type="dxa"/>
            </w:tcMar>
          </w:tcPr>
          <w:p>
            <w:pPr>
              <w:spacing w:after="0" w:line="240" w:lineRule="auto"/>
              <w:jc w:val="center"/>
            </w:pPr>
            <w:r/>
            <w:r>
              <w:rPr>
                <w:rFonts w:ascii="Arial" w:hAnsi="Arial"/>
                <w:b/>
                <w:i w:val="0"/>
                <w:color w:val="FFFFFF"/>
                <w:sz w:val="14"/>
              </w:rPr>
              <w:t>Perspective B</w:t>
            </w:r>
          </w:p>
        </w:tc>
      </w:tr>
      <w:tr>
        <w:trPr>
          <w:cantSplit/>
        </w:trPr>
        <w:tc>
          <w:tcPr>
            <w:tcW w:type="dxa" w:w="338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i w:val="0"/>
                <w:color w:val="202633"/>
                <w:sz w:val="14"/>
              </w:rPr>
              <w:t>Which value or reason matters?</w:t>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r>
      <w:tr>
        <w:trPr>
          <w:cantSplit/>
        </w:trPr>
        <w:tc>
          <w:tcPr>
            <w:tcW w:type="dxa" w:w="338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i w:val="0"/>
                <w:color w:val="202633"/>
                <w:sz w:val="14"/>
              </w:rPr>
              <w:t>Which assumption underlies it?</w:t>
            </w:r>
          </w:p>
        </w:tc>
        <w:tc>
          <w:tcPr>
            <w:tcW w:type="dxa" w:w="332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c>
          <w:tcPr>
            <w:tcW w:type="dxa" w:w="332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r>
      <w:tr>
        <w:trPr>
          <w:cantSplit/>
        </w:trPr>
        <w:tc>
          <w:tcPr>
            <w:tcW w:type="dxa" w:w="338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i w:val="0"/>
                <w:color w:val="202633"/>
                <w:sz w:val="14"/>
              </w:rPr>
              <w:t>Which evidence or feedback is needed?</w:t>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r>
      <w:tr>
        <w:trPr>
          <w:cantSplit/>
        </w:trPr>
        <w:tc>
          <w:tcPr>
            <w:tcW w:type="dxa" w:w="338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i w:val="0"/>
                <w:color w:val="202633"/>
                <w:sz w:val="14"/>
              </w:rPr>
              <w:t>Which possible benefit arises?</w:t>
            </w:r>
          </w:p>
        </w:tc>
        <w:tc>
          <w:tcPr>
            <w:tcW w:type="dxa" w:w="332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c>
          <w:tcPr>
            <w:tcW w:type="dxa" w:w="332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r>
      <w:tr>
        <w:trPr>
          <w:cantSplit/>
        </w:trPr>
        <w:tc>
          <w:tcPr>
            <w:tcW w:type="dxa" w:w="338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i w:val="0"/>
                <w:color w:val="202633"/>
                <w:sz w:val="14"/>
              </w:rPr>
              <w:t>Which costs or burden of error arise?</w:t>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c>
          <w:tcPr>
            <w:tcW w:type="dxa" w:w="332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r>
    </w:tbl>
    <w:p>
      <w:pPr>
        <w:spacing w:after="20" w:line="96" w:lineRule="auto"/>
      </w:pPr>
      <w:r>
        <w:rPr>
          <w:rFonts w:ascii="Arial" w:hAnsi="Arial"/>
          <w:b w:val="0"/>
          <w:i w:val="0"/>
          <w:color w:val="202633"/>
          <w:sz w:val="4"/>
        </w:rPr>
        <w:t xml:space="preserve"> </w:t>
      </w:r>
    </w:p>
    <w:p>
      <w:pPr>
        <w:spacing w:after="40" w:line="240" w:lineRule="auto"/>
      </w:pPr>
      <w:r>
        <w:rPr>
          <w:rFonts w:ascii="Arial" w:hAnsi="Arial"/>
          <w:b/>
          <w:i w:val="0"/>
          <w:color w:val="10203C"/>
          <w:sz w:val="16"/>
        </w:rPr>
        <w:t>Third option without AI</w:t>
      </w:r>
    </w:p>
    <w:p>
      <w:pPr>
        <w:spacing w:after="40" w:line="240" w:lineRule="auto"/>
      </w:pPr>
      <w:r>
        <w:rPr>
          <w:rFonts w:ascii="Arial" w:hAnsi="Arial"/>
          <w:b w:val="0"/>
          <w:i w:val="0"/>
          <w:color w:val="AAB2C2"/>
          <w:sz w:val="16"/>
        </w:rPr>
        <w:t>________________________________________________________________________________</w:t>
      </w:r>
    </w:p>
    <w:p>
      <w:pPr>
        <w:spacing w:after="40" w:line="240" w:lineRule="auto"/>
      </w:pPr>
      <w:r>
        <w:rPr>
          <w:rFonts w:ascii="Arial" w:hAnsi="Arial"/>
          <w:b/>
          <w:i w:val="0"/>
          <w:color w:val="10203C"/>
          <w:sz w:val="16"/>
        </w:rPr>
        <w:t>Meta-question: Which statement must be preserved in all versions, and which explanation may vary?</w:t>
      </w:r>
    </w:p>
    <w:p>
      <w:pPr>
        <w:spacing w:after="40" w:line="240" w:lineRule="auto"/>
      </w:pPr>
      <w:r>
        <w:rPr>
          <w:rFonts w:ascii="Arial" w:hAnsi="Arial"/>
          <w:b w:val="0"/>
          <w:i w:val="0"/>
          <w:color w:val="AAB2C2"/>
          <w:sz w:val="16"/>
        </w:rPr>
        <w:t>________________________________________________________________________________</w:t>
      </w:r>
    </w:p>
    <w:p>
      <w:pPr>
        <w:pStyle w:val="Heading1"/>
      </w:pPr>
      <w:r>
        <w:rPr>
          <w:rFonts w:ascii="Arial" w:hAnsi="Arial"/>
          <w:b/>
          <w:i w:val="0"/>
          <w:color w:val="000000"/>
          <w:sz w:val="26"/>
        </w:rPr>
        <w:t>K · Boundary, Decision, and Revision</w:t>
      </w:r>
    </w:p>
    <w:tbl>
      <w:tblPr>
        <w:tblW w:type="auto" w:w="0"/>
        <w:jc w:val="center"/>
        <w:tblLayout w:type="fixed"/>
        <w:tblLook w:firstColumn="1" w:firstRow="1" w:lastColumn="0" w:lastRow="0" w:noHBand="0" w:noVBand="1" w:val="04A0"/>
      </w:tblPr>
      <w:tblGrid>
        <w:gridCol w:w="5018"/>
        <w:gridCol w:w="5018"/>
      </w:tblGrid>
      <w:tr>
        <w:trPr>
          <w:tblHeader w:val="true"/>
          <w:cantSplit/>
        </w:trPr>
        <w:tc>
          <w:tcPr>
            <w:tcW w:type="dxa" w:w="4536"/>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5" w:type="dxa"/>
              <w:start w:w="90" w:type="dxa"/>
              <w:bottom w:w="35" w:type="dxa"/>
              <w:end w:w="90" w:type="dxa"/>
            </w:tcMar>
          </w:tcPr>
          <w:p>
            <w:pPr>
              <w:spacing w:after="0" w:line="240" w:lineRule="auto"/>
              <w:jc w:val="center"/>
            </w:pPr>
            <w:r/>
            <w:r>
              <w:rPr>
                <w:rFonts w:ascii="Arial" w:hAnsi="Arial"/>
                <w:b/>
                <w:i w:val="0"/>
                <w:color w:val="FFFFFF"/>
                <w:sz w:val="14"/>
              </w:rPr>
              <w:t>Field</w:t>
            </w:r>
          </w:p>
        </w:tc>
        <w:tc>
          <w:tcPr>
            <w:tcW w:type="dxa" w:w="5501"/>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5" w:type="dxa"/>
              <w:start w:w="90" w:type="dxa"/>
              <w:bottom w:w="35" w:type="dxa"/>
              <w:end w:w="90" w:type="dxa"/>
            </w:tcMar>
          </w:tcPr>
          <w:p>
            <w:pPr>
              <w:spacing w:after="0" w:line="240" w:lineRule="auto"/>
              <w:jc w:val="center"/>
            </w:pPr>
            <w:r/>
            <w:r>
              <w:rPr>
                <w:rFonts w:ascii="Arial" w:hAnsi="Arial"/>
                <w:b/>
                <w:i w:val="0"/>
                <w:color w:val="FFFFFF"/>
                <w:sz w:val="14"/>
              </w:rPr>
              <w:t>Working note</w:t>
            </w:r>
          </w:p>
        </w:tc>
      </w:tr>
      <w:tr>
        <w:trPr>
          <w:cantSplit/>
        </w:trPr>
        <w:tc>
          <w:tcPr>
            <w:tcW w:type="dxa" w:w="453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i w:val="0"/>
                <w:color w:val="202633"/>
                <w:sz w:val="14"/>
              </w:rPr>
              <w:t>Which core statement, condition, or uncertainty may not be changed silently?</w:t>
            </w:r>
          </w:p>
        </w:tc>
        <w:tc>
          <w:tcPr>
            <w:tcW w:type="dxa" w:w="550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r>
      <w:tr>
        <w:trPr>
          <w:cantSplit/>
        </w:trPr>
        <w:tc>
          <w:tcPr>
            <w:tcW w:type="dxa" w:w="453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i w:val="0"/>
                <w:color w:val="202633"/>
                <w:sz w:val="14"/>
              </w:rPr>
              <w:t>Who reviews the content and language version?</w:t>
            </w:r>
          </w:p>
        </w:tc>
        <w:tc>
          <w:tcPr>
            <w:tcW w:type="dxa" w:w="5501"/>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r>
      <w:tr>
        <w:trPr>
          <w:cantSplit/>
        </w:trPr>
        <w:tc>
          <w:tcPr>
            <w:tcW w:type="dxa" w:w="453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i w:val="0"/>
                <w:color w:val="202633"/>
                <w:sz w:val="14"/>
              </w:rPr>
              <w:t>How can learners or teachers report an unclear passage?</w:t>
            </w:r>
          </w:p>
        </w:tc>
        <w:tc>
          <w:tcPr>
            <w:tcW w:type="dxa" w:w="550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r>
      <w:tr>
        <w:trPr>
          <w:cantSplit/>
        </w:trPr>
        <w:tc>
          <w:tcPr>
            <w:tcW w:type="dxa" w:w="453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i w:val="0"/>
                <w:color w:val="202633"/>
                <w:sz w:val="14"/>
              </w:rPr>
              <w:t>Which observation stops or reopens the decision?</w:t>
            </w:r>
          </w:p>
        </w:tc>
        <w:tc>
          <w:tcPr>
            <w:tcW w:type="dxa" w:w="5501"/>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r>
      <w:tr>
        <w:trPr>
          <w:cantSplit/>
        </w:trPr>
        <w:tc>
          <w:tcPr>
            <w:tcW w:type="dxa" w:w="453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i w:val="0"/>
                <w:color w:val="202633"/>
                <w:sz w:val="14"/>
              </w:rPr>
              <w:t>Which objection remains open, and why?</w:t>
            </w:r>
          </w:p>
        </w:tc>
        <w:tc>
          <w:tcPr>
            <w:tcW w:type="dxa" w:w="5501"/>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30" w:type="dxa"/>
              <w:start w:w="90" w:type="dxa"/>
              <w:bottom w:w="30" w:type="dxa"/>
              <w:end w:w="90" w:type="dxa"/>
            </w:tcMar>
          </w:tcPr>
          <w:p>
            <w:pPr>
              <w:spacing w:after="0" w:line="245" w:lineRule="auto"/>
            </w:pPr>
            <w:r/>
            <w:r>
              <w:rPr>
                <w:rFonts w:ascii="Arial" w:hAnsi="Arial"/>
                <w:b w:val="0"/>
                <w:i w:val="0"/>
                <w:color w:val="202633"/>
                <w:sz w:val="14"/>
              </w:rPr>
            </w:r>
          </w:p>
        </w:tc>
      </w:tr>
    </w:tbl>
    <w:p>
      <w:pPr>
        <w:spacing w:after="20" w:line="96" w:lineRule="auto"/>
      </w:pPr>
      <w:r>
        <w:rPr>
          <w:rFonts w:ascii="Arial" w:hAnsi="Arial"/>
          <w:b w:val="0"/>
          <w:i w:val="0"/>
          <w:color w:val="202633"/>
          <w:sz w:val="4"/>
        </w:rPr>
        <w:t xml:space="preserve"> </w:t>
      </w:r>
    </w:p>
    <w:p>
      <w:pPr>
        <w:spacing w:after="40" w:line="240" w:lineRule="auto"/>
      </w:pPr>
      <w:r>
        <w:rPr>
          <w:rFonts w:ascii="Arial" w:hAnsi="Arial"/>
          <w:b/>
          <w:i w:val="0"/>
          <w:color w:val="10203C"/>
          <w:sz w:val="16"/>
        </w:rPr>
        <w:t>Provisional recommendation and justification</w:t>
      </w:r>
    </w:p>
    <w:p>
      <w:pPr>
        <w:spacing w:after="40" w:line="240" w:lineRule="auto"/>
      </w:pPr>
      <w:r>
        <w:rPr>
          <w:rFonts w:ascii="Arial" w:hAnsi="Arial"/>
          <w:b w:val="0"/>
          <w:i w:val="0"/>
          <w:color w:val="AAB2C2"/>
          <w:sz w:val="16"/>
        </w:rPr>
        <w:t>________________________________________________________________________________</w:t>
      </w:r>
    </w:p>
    <w:p>
      <w:pPr>
        <w:spacing w:after="40" w:line="240" w:lineRule="auto"/>
      </w:pPr>
      <w:r>
        <w:rPr>
          <w:rFonts w:ascii="Arial" w:hAnsi="Arial"/>
          <w:b w:val="0"/>
          <w:i w:val="0"/>
          <w:color w:val="AAB2C2"/>
          <w:sz w:val="16"/>
        </w:rPr>
        <w:t>________________________________________________________________________________</w:t>
      </w:r>
    </w:p>
    <w:p>
      <w:r>
        <w:br w:type="page"/>
      </w:r>
    </w:p>
    <w:p>
      <w:pPr>
        <w:spacing w:before="0" w:after="40" w:line="250" w:lineRule="auto"/>
      </w:pPr>
      <w:r>
        <w:rPr>
          <w:rFonts w:ascii="Arial" w:hAnsi="Arial"/>
          <w:b/>
          <w:i w:val="0"/>
          <w:color w:val="2954E8"/>
          <w:sz w:val="16"/>
        </w:rPr>
        <w:t>AI ETHICS</w:t>
      </w:r>
    </w:p>
    <w:p>
      <w:pPr>
        <w:pStyle w:val="Heading1"/>
      </w:pPr>
      <w:r>
        <w:rPr>
          <w:rFonts w:ascii="Arial" w:hAnsi="Arial"/>
          <w:b/>
          <w:i w:val="0"/>
          <w:color w:val="000000"/>
          <w:sz w:val="26"/>
        </w:rPr>
        <w:t>90 Minute Course Schedule</w:t>
      </w:r>
    </w:p>
    <w:p>
      <w:pPr>
        <w:spacing w:before="0" w:after="100" w:line="250" w:lineRule="auto"/>
      </w:pPr>
      <w:r>
        <w:rPr>
          <w:rFonts w:ascii="Arial" w:hAnsi="Arial"/>
          <w:b w:val="0"/>
          <w:i w:val="0"/>
          <w:color w:val="202633"/>
          <w:sz w:val="16"/>
        </w:rPr>
        <w:t>Learning output: a conflict map with two defensible perspectives, a core of meaning, a boundary, an objection route, and a revision trigger. The F-A question card was developed for this case. QFT is not used or reproduced here.</w:t>
      </w:r>
    </w:p>
    <w:tbl>
      <w:tblPr>
        <w:tblW w:type="auto" w:w="0"/>
        <w:jc w:val="center"/>
        <w:tblLayout w:type="fixed"/>
        <w:tblLook w:firstColumn="1" w:firstRow="1" w:lastColumn="0" w:lastRow="0" w:noHBand="0" w:noVBand="1" w:val="04A0"/>
      </w:tblPr>
      <w:tblGrid>
        <w:gridCol w:w="3346"/>
        <w:gridCol w:w="3346"/>
        <w:gridCol w:w="3346"/>
      </w:tblGrid>
      <w:tr>
        <w:trPr>
          <w:tblHeader w:val="true"/>
          <w:cantSplit/>
        </w:trPr>
        <w:tc>
          <w:tcPr>
            <w:tcW w:type="dxa" w:w="1296"/>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0" w:type="dxa"/>
              <w:start w:w="90" w:type="dxa"/>
              <w:bottom w:w="60" w:type="dxa"/>
              <w:end w:w="90" w:type="dxa"/>
            </w:tcMar>
          </w:tcPr>
          <w:p>
            <w:pPr>
              <w:spacing w:after="0" w:line="240" w:lineRule="auto"/>
              <w:jc w:val="center"/>
            </w:pPr>
            <w:r/>
            <w:r>
              <w:rPr>
                <w:rFonts w:ascii="Arial" w:hAnsi="Arial"/>
                <w:b/>
                <w:i w:val="0"/>
                <w:color w:val="FFFFFF"/>
                <w:sz w:val="14"/>
              </w:rPr>
              <w:t>Time</w:t>
            </w:r>
          </w:p>
        </w:tc>
        <w:tc>
          <w:tcPr>
            <w:tcW w:type="dxa" w:w="5112"/>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0" w:type="dxa"/>
              <w:start w:w="90" w:type="dxa"/>
              <w:bottom w:w="60" w:type="dxa"/>
              <w:end w:w="90" w:type="dxa"/>
            </w:tcMar>
          </w:tcPr>
          <w:p>
            <w:pPr>
              <w:spacing w:after="0" w:line="240" w:lineRule="auto"/>
              <w:jc w:val="center"/>
            </w:pPr>
            <w:r/>
            <w:r>
              <w:rPr>
                <w:rFonts w:ascii="Arial" w:hAnsi="Arial"/>
                <w:b/>
                <w:i w:val="0"/>
                <w:color w:val="FFFFFF"/>
                <w:sz w:val="14"/>
              </w:rPr>
              <w:t>Phase</w:t>
            </w:r>
          </w:p>
        </w:tc>
        <w:tc>
          <w:tcPr>
            <w:tcW w:type="dxa" w:w="362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0" w:type="dxa"/>
              <w:start w:w="90" w:type="dxa"/>
              <w:bottom w:w="60" w:type="dxa"/>
              <w:end w:w="90" w:type="dxa"/>
            </w:tcMar>
          </w:tcPr>
          <w:p>
            <w:pPr>
              <w:spacing w:after="0" w:line="240" w:lineRule="auto"/>
              <w:jc w:val="center"/>
            </w:pPr>
            <w:r/>
            <w:r>
              <w:rPr>
                <w:rFonts w:ascii="Arial" w:hAnsi="Arial"/>
                <w:b/>
                <w:i w:val="0"/>
                <w:color w:val="FFFFFF"/>
                <w:sz w:val="14"/>
              </w:rPr>
              <w:t>Deliverable</w:t>
            </w:r>
          </w:p>
        </w:tc>
      </w:tr>
      <w:tr>
        <w:trPr>
          <w:cantSplit/>
        </w:trPr>
        <w:tc>
          <w:tcPr>
            <w:tcW w:type="dxa" w:w="129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0–20 min.</w:t>
            </w:r>
          </w:p>
        </w:tc>
        <w:tc>
          <w:tcPr>
            <w:tcW w:type="dxa" w:w="5112"/>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F-A · Terms and question card: clarify “equal,” “understandable,” “simplified,” and “faithful to content”; sort questions into empirical, normative, and organisational categories.</w:t>
            </w:r>
          </w:p>
        </w:tc>
        <w:tc>
          <w:tcPr>
            <w:tcW w:type="dxa" w:w="362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Terms, assumptions, and at least three open questions</w:t>
            </w:r>
          </w:p>
        </w:tc>
      </w:tr>
      <w:tr>
        <w:trPr>
          <w:cantSplit/>
        </w:trPr>
        <w:tc>
          <w:tcPr>
            <w:tcW w:type="dxa" w:w="129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20–35 min.</w:t>
            </w:r>
          </w:p>
        </w:tc>
        <w:tc>
          <w:tcPr>
            <w:tcW w:type="dxa" w:w="5112"/>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F-B · Competing interpretations: examine shared reference, adapted explanation, and a human non-AI option.</w:t>
            </w:r>
          </w:p>
        </w:tc>
        <w:tc>
          <w:tcPr>
            <w:tcW w:type="dxa" w:w="362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Two defensible perspectives with benefits, costs, and need for evidence</w:t>
            </w:r>
          </w:p>
        </w:tc>
      </w:tr>
      <w:tr>
        <w:trPr>
          <w:cantSplit/>
        </w:trPr>
        <w:tc>
          <w:tcPr>
            <w:tcW w:type="dxa" w:w="129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35–65 min.</w:t>
            </w:r>
          </w:p>
        </w:tc>
        <w:tc>
          <w:tcPr>
            <w:tcW w:type="dxa" w:w="5112"/>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K · Exploration and reflection: examine responsibilities, risks to meaning, resources, and the strongest counter-position.</w:t>
            </w:r>
          </w:p>
        </w:tc>
        <w:tc>
          <w:tcPr>
            <w:tcW w:type="dxa" w:w="362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Changed or limited option; documented dissent</w:t>
            </w:r>
          </w:p>
        </w:tc>
      </w:tr>
      <w:tr>
        <w:trPr>
          <w:cantSplit/>
        </w:trPr>
        <w:tc>
          <w:tcPr>
            <w:tcW w:type="dxa" w:w="1296"/>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65–80 min.</w:t>
            </w:r>
          </w:p>
        </w:tc>
        <w:tc>
          <w:tcPr>
            <w:tcW w:type="dxa" w:w="5112"/>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K · Decision and recommendation: record the core of meaning, permitted adaptation, review role, and objection.</w:t>
            </w:r>
          </w:p>
        </w:tc>
        <w:tc>
          <w:tcPr>
            <w:tcW w:type="dxa" w:w="362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Provisional recommendation without a shared value scale</w:t>
            </w:r>
          </w:p>
        </w:tc>
      </w:tr>
      <w:tr>
        <w:trPr>
          <w:cantSplit/>
        </w:trPr>
        <w:tc>
          <w:tcPr>
            <w:tcW w:type="dxa" w:w="1296"/>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80–90 min.</w:t>
            </w:r>
          </w:p>
        </w:tc>
        <w:tc>
          <w:tcPr>
            <w:tcW w:type="dxa" w:w="5112"/>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Feedback and evaluation: set the revision trigger and feedback route.</w:t>
            </w:r>
          </w:p>
        </w:tc>
        <w:tc>
          <w:tcPr>
            <w:tcW w:type="dxa" w:w="362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Condition for pausing, changing, or asking the question again</w:t>
            </w:r>
          </w:p>
        </w:tc>
      </w:tr>
    </w:tbl>
    <w:p>
      <w:pPr>
        <w:spacing w:after="40" w:line="96" w:lineRule="auto"/>
      </w:pPr>
      <w:r>
        <w:rPr>
          <w:rFonts w:ascii="Arial" w:hAnsi="Arial"/>
          <w:b w:val="0"/>
          <w:i w:val="0"/>
          <w:color w:val="202633"/>
          <w:sz w:val="4"/>
        </w:rPr>
        <w:t xml:space="preserve"> </w:t>
      </w:r>
    </w:p>
    <w:p>
      <w:pPr>
        <w:pStyle w:val="Heading1"/>
      </w:pPr>
      <w:r>
        <w:rPr>
          <w:rFonts w:ascii="Arial" w:hAnsi="Arial"/>
          <w:b/>
          <w:i w:val="0"/>
          <w:color w:val="000000"/>
          <w:sz w:val="26"/>
        </w:rPr>
        <w:t>Final Check</w:t>
      </w:r>
    </w:p>
    <w:tbl>
      <w:tblPr>
        <w:tblW w:type="auto" w:w="0"/>
        <w:jc w:val="center"/>
        <w:tblLayout w:type="fixed"/>
        <w:tblLook w:firstColumn="1" w:firstRow="1" w:lastColumn="0" w:lastRow="0" w:noHBand="0" w:noVBand="1" w:val="04A0"/>
      </w:tblPr>
      <w:tblGrid>
        <w:gridCol w:w="3346"/>
        <w:gridCol w:w="3346"/>
        <w:gridCol w:w="3346"/>
      </w:tblGrid>
      <w:tr>
        <w:trPr>
          <w:tblHeader w:val="true"/>
          <w:cantSplit/>
        </w:trPr>
        <w:tc>
          <w:tcPr>
            <w:tcW w:type="dxa" w:w="709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0" w:type="dxa"/>
              <w:start w:w="90" w:type="dxa"/>
              <w:bottom w:w="60" w:type="dxa"/>
              <w:end w:w="90" w:type="dxa"/>
            </w:tcMar>
          </w:tcPr>
          <w:p>
            <w:pPr>
              <w:spacing w:after="0" w:line="240" w:lineRule="auto"/>
              <w:jc w:val="center"/>
            </w:pPr>
            <w:r/>
            <w:r>
              <w:rPr>
                <w:rFonts w:ascii="Arial" w:hAnsi="Arial"/>
                <w:b/>
                <w:i w:val="0"/>
                <w:color w:val="FFFFFF"/>
                <w:sz w:val="14"/>
              </w:rPr>
              <w:t>Check point</w:t>
            </w:r>
          </w:p>
        </w:tc>
        <w:tc>
          <w:tcPr>
            <w:tcW w:type="dxa" w:w="1440"/>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0" w:type="dxa"/>
              <w:start w:w="90" w:type="dxa"/>
              <w:bottom w:w="60" w:type="dxa"/>
              <w:end w:w="90" w:type="dxa"/>
            </w:tcMar>
          </w:tcPr>
          <w:p>
            <w:pPr>
              <w:spacing w:after="0" w:line="240" w:lineRule="auto"/>
              <w:jc w:val="center"/>
            </w:pPr>
            <w:r/>
            <w:r>
              <w:rPr>
                <w:rFonts w:ascii="Arial" w:hAnsi="Arial"/>
                <w:b/>
                <w:i w:val="0"/>
                <w:color w:val="FFFFFF"/>
                <w:sz w:val="14"/>
              </w:rPr>
              <w:t>Done</w:t>
            </w:r>
          </w:p>
        </w:tc>
        <w:tc>
          <w:tcPr>
            <w:tcW w:type="dxa" w:w="1440"/>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60" w:type="dxa"/>
              <w:start w:w="90" w:type="dxa"/>
              <w:bottom w:w="60" w:type="dxa"/>
              <w:end w:w="90" w:type="dxa"/>
            </w:tcMar>
          </w:tcPr>
          <w:p>
            <w:pPr>
              <w:spacing w:after="0" w:line="240" w:lineRule="auto"/>
              <w:jc w:val="center"/>
            </w:pPr>
            <w:r/>
            <w:r>
              <w:rPr>
                <w:rFonts w:ascii="Arial" w:hAnsi="Arial"/>
                <w:b/>
                <w:i w:val="0"/>
                <w:color w:val="FFFFFF"/>
                <w:sz w:val="14"/>
              </w:rPr>
              <w:t>Still open</w:t>
            </w:r>
          </w:p>
        </w:tc>
      </w:tr>
      <w:tr>
        <w:trPr>
          <w:cantSplit/>
        </w:trPr>
        <w:tc>
          <w:tcPr>
            <w:tcW w:type="dxa" w:w="709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The initial question and its assumptions are visible.</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r>
      <w:tr>
        <w:trPr>
          <w:cantSplit/>
        </w:trPr>
        <w:tc>
          <w:tcPr>
            <w:tcW w:type="dxa" w:w="709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Empirical, normative, and organisational points are separated.</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r>
      <w:tr>
        <w:trPr>
          <w:cantSplit/>
        </w:trPr>
        <w:tc>
          <w:tcPr>
            <w:tcW w:type="dxa" w:w="709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Two defensible perspectives and a non-AI option have been examined.</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r>
      <w:tr>
        <w:trPr>
          <w:cantSplit/>
        </w:trPr>
        <w:tc>
          <w:tcPr>
            <w:tcW w:type="dxa" w:w="709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The core of meaning and permitted explanation are distinguished from one another.</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r>
      <w:tr>
        <w:trPr>
          <w:cantSplit/>
        </w:trPr>
        <w:tc>
          <w:tcPr>
            <w:tcW w:type="dxa" w:w="709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Responsibility, objection, and revision trigger are concrete.</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c>
          <w:tcPr>
            <w:tcW w:type="dxa" w:w="1440"/>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r>
      <w:tr>
        <w:trPr>
          <w:cantSplit/>
        </w:trPr>
        <w:tc>
          <w:tcPr>
            <w:tcW w:type="dxa" w:w="709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Open dissent is documented or its absence is justified.</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c>
          <w:tcPr>
            <w:tcW w:type="dxa" w:w="1440"/>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2" w:type="dxa"/>
              <w:start w:w="90" w:type="dxa"/>
              <w:bottom w:w="52" w:type="dxa"/>
              <w:end w:w="90" w:type="dxa"/>
            </w:tcMar>
          </w:tcPr>
          <w:p>
            <w:pPr>
              <w:spacing w:after="0" w:line="245" w:lineRule="auto"/>
            </w:pPr>
            <w:r/>
            <w:r>
              <w:rPr>
                <w:rFonts w:ascii="Arial" w:hAnsi="Arial"/>
                <w:b w:val="0"/>
                <w:i w:val="0"/>
                <w:color w:val="202633"/>
                <w:sz w:val="14"/>
              </w:rPr>
              <w:t>☐</w:t>
            </w:r>
          </w:p>
        </w:tc>
      </w:tr>
    </w:tbl>
    <w:p>
      <w:pPr>
        <w:spacing w:after="40" w:line="96" w:lineRule="auto"/>
      </w:pPr>
      <w:r>
        <w:rPr>
          <w:rFonts w:ascii="Arial" w:hAnsi="Arial"/>
          <w:b w:val="0"/>
          <w:i w:val="0"/>
          <w:color w:val="202633"/>
          <w:sz w:val="4"/>
        </w:rPr>
        <w:t xml:space="preserve"> </w:t>
      </w:r>
    </w:p>
    <w:p>
      <w:pPr>
        <w:spacing w:before="0" w:after="80" w:line="250" w:lineRule="auto"/>
      </w:pPr>
      <w:r>
        <w:rPr>
          <w:rFonts w:ascii="Arial" w:hAnsi="Arial"/>
          <w:b/>
          <w:i w:val="0"/>
          <w:color w:val="10203C"/>
          <w:sz w:val="15"/>
        </w:rPr>
        <w:t>The assessment addresses justification and reviewability, not agreement with a particular value judgement or with introducing AI. The final check does not measure learning effects and does not create an overall score for different values.</w:t>
      </w:r>
    </w:p>
    <w:p>
      <w:pPr>
        <w:pStyle w:val="Heading1"/>
      </w:pPr>
      <w:r>
        <w:rPr>
          <w:rFonts w:ascii="Arial" w:hAnsi="Arial"/>
          <w:b/>
          <w:i w:val="0"/>
          <w:color w:val="000000"/>
          <w:sz w:val="26"/>
        </w:rPr>
        <w:t>Counter Check</w:t>
      </w:r>
    </w:p>
    <w:p>
      <w:pPr>
        <w:spacing w:before="0" w:after="20" w:line="250" w:lineRule="auto"/>
      </w:pPr>
      <w:r>
        <w:rPr>
          <w:rFonts w:ascii="Arial" w:hAnsi="Arial"/>
          <w:b w:val="0"/>
          <w:i w:val="0"/>
          <w:color w:val="202633"/>
          <w:sz w:val="16"/>
        </w:rPr>
        <w:t>Which new information could change your provisional recommendation? Who can bring it forward? What must then be paused or withdrawn?</w:t>
      </w:r>
    </w:p>
    <w:p>
      <w:pPr>
        <w:spacing w:after="40" w:line="240" w:lineRule="auto"/>
      </w:pPr>
      <w:r>
        <w:rPr>
          <w:rFonts w:ascii="Arial" w:hAnsi="Arial"/>
          <w:b/>
          <w:i w:val="0"/>
          <w:color w:val="10203C"/>
          <w:sz w:val="16"/>
        </w:rPr>
        <w:t>Our strongest reason for the recommendation</w:t>
      </w:r>
    </w:p>
    <w:p>
      <w:pPr>
        <w:spacing w:after="40" w:line="240" w:lineRule="auto"/>
      </w:pPr>
      <w:r>
        <w:rPr>
          <w:rFonts w:ascii="Arial" w:hAnsi="Arial"/>
          <w:b w:val="0"/>
          <w:i w:val="0"/>
          <w:color w:val="AAB2C2"/>
          <w:sz w:val="16"/>
        </w:rPr>
        <w:t>________________________________________________________________________________</w:t>
      </w:r>
    </w:p>
    <w:p>
      <w:pPr>
        <w:spacing w:after="40" w:line="240" w:lineRule="auto"/>
      </w:pPr>
      <w:r>
        <w:rPr>
          <w:rFonts w:ascii="Arial" w:hAnsi="Arial"/>
          <w:b/>
          <w:i w:val="0"/>
          <w:color w:val="10203C"/>
          <w:sz w:val="16"/>
        </w:rPr>
        <w:t>The objection that remains open</w:t>
      </w:r>
    </w:p>
    <w:p>
      <w:pPr>
        <w:spacing w:after="40" w:line="240" w:lineRule="auto"/>
      </w:pPr>
      <w:r>
        <w:rPr>
          <w:rFonts w:ascii="Arial" w:hAnsi="Arial"/>
          <w:b w:val="0"/>
          <w:i w:val="0"/>
          <w:color w:val="AAB2C2"/>
          <w:sz w:val="16"/>
        </w:rPr>
        <w:t>________________________________________________________________________________</w:t>
      </w:r>
    </w:p>
    <w:p>
      <w:pPr>
        <w:spacing w:after="40" w:line="240" w:lineRule="auto"/>
      </w:pPr>
      <w:r>
        <w:rPr>
          <w:rFonts w:ascii="Arial" w:hAnsi="Arial"/>
          <w:b/>
          <w:i w:val="0"/>
          <w:color w:val="10203C"/>
          <w:sz w:val="16"/>
        </w:rPr>
        <w:t>We review or stop again if</w:t>
      </w:r>
    </w:p>
    <w:p>
      <w:pPr>
        <w:spacing w:after="40" w:line="240" w:lineRule="auto"/>
      </w:pPr>
      <w:r>
        <w:rPr>
          <w:rFonts w:ascii="Arial" w:hAnsi="Arial"/>
          <w:b w:val="0"/>
          <w:i w:val="0"/>
          <w:color w:val="AAB2C2"/>
          <w:sz w:val="16"/>
        </w:rPr>
        <w:t>________________________________________________________________________________</w:t>
      </w:r>
    </w:p>
    <w:p>
      <w:pPr>
        <w:spacing w:before="80" w:after="0" w:line="250" w:lineRule="auto"/>
      </w:pPr>
      <w:r>
        <w:rPr>
          <w:rFonts w:ascii="Arial" w:hAnsi="Arial"/>
          <w:b/>
          <w:i w:val="0"/>
          <w:color w:val="5C6472"/>
          <w:sz w:val="15"/>
        </w:rPr>
        <w:t>Boundary: The case and recommendation are fictional. The map demonstrates neither ethical effectiveness nor legal compliance, replaces no specialist review, and shows no general effect on comprehensibility.</w:t>
      </w:r>
    </w:p>
    <w:sectPr>
      <w:headerReference w:type="default" r:id="rId9"/>
      <w:footerReference w:type="default" r:id="rId10"/>
      <w:pgSz w:w="11909" w:h="16834"/>
      <w:pgMar w:top="792" w:right="936" w:bottom="835" w:left="936" w:header="374"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Arial" w:hAnsi="Arial"/>
        <w:b w:val="0"/>
        <w:i w:val="0"/>
        <w:color w:val="5C6472"/>
        <w:sz w:val="15"/>
      </w:rPr>
      <w:t xml:space="preserve">Values and Conflicts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b/>
        <w:i w:val="0"/>
        <w:color w:val="2954E8"/>
        <w:sz w:val="15"/>
      </w:rPr>
      <w:t>AI ETHICS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54" w:lineRule="auto"/>
    </w:pPr>
    <w:rPr>
      <w:rFonts w:ascii="Arial" w:hAnsi="Arial"/>
      <w:color w:val="202633"/>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80" w:after="50"/>
      <w:outlineLvl w:val="1"/>
    </w:pPr>
    <w:rPr>
      <w:rFonts w:asciiTheme="majorHAnsi" w:eastAsiaTheme="majorEastAsia" w:hAnsiTheme="majorHAnsi" w:cstheme="majorBidi" w:ascii="Arial" w:hAnsi="Arial"/>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50" w:line="240" w:lineRule="auto" w:before="80"/>
      <w:contextualSpacing/>
    </w:pPr>
    <w:rPr>
      <w:rFonts w:asciiTheme="majorHAnsi" w:eastAsiaTheme="majorEastAsia" w:hAnsiTheme="majorHAnsi" w:cstheme="majorBidi" w:ascii="Arial" w:hAnsi="Arial"/>
      <w:b w:val="0"/>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Furkan Sakızlı</dc:creator>
  <cp:keywords/>
  <dc:description/>
  <cp:lastModifiedBy/>
  <cp:revision>1</cp:revision>
  <dcterms:created xsi:type="dcterms:W3CDTF">2013-12-23T23:15:00Z</dcterms:created>
  <dcterms:modified xsi:type="dcterms:W3CDTF">2013-12-23T23:15:00Z</dcterms:modified>
  <cp:category/>
  <dc:identifier/>
  <dc:language/>
  <cp:version/>
</cp:coreProperties>
</file>