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</w:pPr>
      <w:r>
        <w:rPr>
          <w:rFonts w:ascii="Arial" w:hAnsi="Arial"/>
          <w:b/>
          <w:i w:val="0"/>
          <w:color w:val="000000"/>
          <w:sz w:val="42"/>
        </w:rPr>
        <w:t>Responsibility before the click</w:t>
      </w:r>
    </w:p>
    <w:p>
      <w:pPr>
        <w:spacing w:after="120" w:line="259" w:lineRule="auto"/>
      </w:pPr>
      <w:r>
        <w:rPr>
          <w:rFonts w:ascii="Arial" w:hAnsi="Arial"/>
          <w:b/>
          <w:i w:val="0"/>
          <w:color w:val="000000"/>
          <w:sz w:val="22"/>
        </w:rPr>
        <w:t>Worksheet</w:t>
      </w:r>
    </w:p>
    <w:p>
      <w:pPr>
        <w:spacing w:after="80" w:line="259" w:lineRule="auto"/>
      </w:pPr>
      <w:r>
        <w:rPr>
          <w:rFonts w:ascii="Arial" w:hAnsi="Arial"/>
          <w:b w:val="0"/>
          <w:i w:val="0"/>
          <w:color w:val="1A1A1A"/>
          <w:sz w:val="19"/>
        </w:rPr>
        <w:t>This worksheet assigns information, a real right to intervene and evidence for an AI-prepared decision. It uses only the fictional training case. No real customer data are processed and no message is sent.</w:t>
      </w:r>
    </w:p>
    <w:p>
      <w:pPr>
        <w:spacing w:after="60" w:line="254" w:lineRule="auto"/>
      </w:pPr>
      <w:r>
        <w:rPr>
          <w:rFonts w:ascii="Arial" w:hAnsi="Arial"/>
          <w:b/>
          <w:i w:val="0"/>
          <w:color w:val="000000"/>
          <w:sz w:val="18"/>
        </w:rPr>
        <w:t xml:space="preserve">Working time: </w:t>
      </w:r>
      <w:r>
        <w:rPr>
          <w:rFonts w:ascii="Arial" w:hAnsi="Arial"/>
          <w:b w:val="0"/>
          <w:i w:val="0"/>
          <w:color w:val="1A1A1A"/>
          <w:sz w:val="18"/>
        </w:rPr>
        <w:t>35–45 minutes individually or in groups. The course version takes 90 minutes.</w:t>
      </w:r>
    </w:p>
    <w:p>
      <w:pPr>
        <w:spacing w:after="60" w:line="254" w:lineRule="auto"/>
      </w:pPr>
      <w:r>
        <w:rPr>
          <w:rFonts w:ascii="Arial" w:hAnsi="Arial"/>
          <w:b/>
          <w:i w:val="0"/>
          <w:color w:val="000000"/>
          <w:sz w:val="18"/>
        </w:rPr>
        <w:t xml:space="preserve">Training boundary: </w:t>
      </w:r>
      <w:r>
        <w:rPr>
          <w:rFonts w:ascii="Arial" w:hAnsi="Arial"/>
          <w:b w:val="0"/>
          <w:i w:val="0"/>
          <w:color w:val="1A1A1A"/>
          <w:sz w:val="18"/>
        </w:rPr>
        <w:t>All customer messages remain drafts. The matrix describes a possible allocation of responsibility for later use that must be examined independently.</w:t>
      </w:r>
    </w:p>
    <w:p>
      <w:pPr>
        <w:spacing w:before="160" w:after="80"/>
        <w:keepNext/>
      </w:pPr>
      <w:r>
        <w:rPr>
          <w:rFonts w:ascii="Arial" w:hAnsi="Arial"/>
          <w:b/>
          <w:i w:val="0"/>
          <w:color w:val="000000"/>
          <w:sz w:val="26"/>
        </w:rPr>
        <w:t>Completed fictional case R-184</w:t>
      </w:r>
    </w:p>
    <w:p>
      <w:pPr>
        <w:spacing w:after="60" w:line="259" w:lineRule="auto"/>
      </w:pPr>
      <w:r>
        <w:rPr>
          <w:rFonts w:ascii="Arial" w:hAnsi="Arial"/>
          <w:b w:val="0"/>
          <w:i w:val="0"/>
          <w:color w:val="1A1A1A"/>
          <w:sz w:val="18"/>
        </w:rPr>
        <w:t>A workshop reports a potentially safety-relevant component with damaged packaging. An internal language model proposes: “Please provide photos; decision within five working days.” An appointment is pending. The ticket does not say whether the box was opened.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14"/>
        <w:gridCol w:w="5314"/>
      </w:tblGrid>
      <w:tr>
        <w:trPr>
          <w:tblHeader w:val="true"/>
          <w:cantSplit/>
        </w:trPr>
        <w:tc>
          <w:tcPr>
            <w:tcW w:type="dxa" w:w="252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Question</w:t>
            </w:r>
          </w:p>
        </w:tc>
        <w:tc>
          <w:tcPr>
            <w:tcW w:type="dxa" w:w="806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Working answer</w:t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What does AI prepare?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An unsent reply draft for a transport-damage complaint.</w:t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What may it not decide?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Replacement, rejection, cost or liability commitment, or release of a safety-relevant part.</w:t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What is missing?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Whether the box was opened; damage, delivery status and product identification must be traceable.</w:t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First safe step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Do not send. Stop, record the gap and refer under the stop rule.</w:t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Non-AI alternative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Checklist and approved text modules for the first follow-up question.</w:t>
            </w:r>
          </w:p>
        </w:tc>
      </w:tr>
    </w:tbl>
    <w:p>
      <w:pPr>
        <w:spacing w:before="160" w:after="80"/>
        <w:keepNext/>
      </w:pPr>
      <w:r>
        <w:rPr>
          <w:rFonts w:ascii="Arial" w:hAnsi="Arial"/>
          <w:b/>
          <w:i w:val="0"/>
          <w:color w:val="000000"/>
          <w:sz w:val="26"/>
        </w:rPr>
        <w:t>Completed accountability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57"/>
        <w:gridCol w:w="2657"/>
        <w:gridCol w:w="2657"/>
        <w:gridCol w:w="2657"/>
      </w:tblGrid>
      <w:tr>
        <w:trPr>
          <w:tblHeader w:val="true"/>
          <w:cantSplit/>
        </w:trPr>
        <w:tc>
          <w:tcPr>
            <w:tcW w:type="dxa" w:w="1656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3"/>
              </w:rPr>
              <w:t>Trigger</w:t>
            </w:r>
          </w:p>
        </w:tc>
        <w:tc>
          <w:tcPr>
            <w:tcW w:type="dxa" w:w="1872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3"/>
              </w:rPr>
              <w:t>Deciding role</w:t>
            </w:r>
          </w:p>
        </w:tc>
        <w:tc>
          <w:tcPr>
            <w:tcW w:type="dxa" w:w="4032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3"/>
              </w:rPr>
              <w:t>Action and cross-check</w:t>
            </w:r>
          </w:p>
        </w:tc>
        <w:tc>
          <w:tcPr>
            <w:tcW w:type="dxa" w:w="302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3"/>
              </w:rPr>
              <w:t>Evidence and feedback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AI draft available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Service worker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Read, change, reject or prepare follow-up; warehouse specialist checks facts where packaging, part or shipment matters.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Case ID, draft version, change/rejection, reason, missing evidence; only an unsent draft.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Safety relevance or damaged packaging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Service management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Stop; decide only with warehouse finding. Management checks whether rule, time and cover work.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Role, time, reason, rule/exception and customer-message draft; renewed human review may be requested.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Warehouse finding unclear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Warehouse specialist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Mark unclear; initiate inspection or hold. Service management uses finding in case decision.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Finding, source, time and hold marker where applicable.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Recurring stops or unclear rule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Management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Narrow, pause or end pilot; secure cover and review time. Complaint channel reveals recurring problems.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Rule version, stop decision, review date and resource decision.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Concrete contract, warranty, liability or data issue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Specialist review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Answer only a narrow question or request records; service management returns result to case decision.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Review request, record list, result or open point.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Affected person contests reply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Complaint channel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Receive complaint; trigger renewed review by another responsible case role.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Receipt, deadline, outcome and reference to renewed review.</w:t>
            </w:r>
          </w:p>
        </w:tc>
      </w:tr>
    </w:tbl>
    <w:p>
      <w:r>
        <w:br w:type="page"/>
      </w:r>
    </w:p>
    <w:p>
      <w:pPr>
        <w:spacing w:before="160" w:after="80"/>
        <w:keepNext/>
      </w:pPr>
      <w:r>
        <w:rPr>
          <w:rFonts w:ascii="Arial" w:hAnsi="Arial"/>
          <w:b/>
          <w:i w:val="0"/>
          <w:color w:val="000000"/>
          <w:sz w:val="26"/>
        </w:rPr>
        <w:t>Stop and escalation card for R-184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57"/>
        <w:gridCol w:w="2657"/>
        <w:gridCol w:w="2657"/>
        <w:gridCol w:w="2657"/>
      </w:tblGrid>
      <w:tr>
        <w:trPr>
          <w:tblHeader w:val="true"/>
          <w:cantSplit/>
        </w:trPr>
        <w:tc>
          <w:tcPr>
            <w:tcW w:type="dxa" w:w="2232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4"/>
              </w:rPr>
              <w:t>Trigger</w:t>
            </w:r>
          </w:p>
        </w:tc>
        <w:tc>
          <w:tcPr>
            <w:tcW w:type="dxa" w:w="3168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4"/>
              </w:rPr>
              <w:t>Immediate action</w:t>
            </w:r>
          </w:p>
        </w:tc>
        <w:tc>
          <w:tcPr>
            <w:tcW w:type="dxa" w:w="2448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4"/>
              </w:rPr>
              <w:t>Escalate to</w:t>
            </w:r>
          </w:p>
        </w:tc>
        <w:tc>
          <w:tcPr>
            <w:tcW w:type="dxa" w:w="3672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4"/>
              </w:rPr>
              <w:t>Minimum evidence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Safety-relevant part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Do not send; mark case.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Service management and warehouse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Case ID, product, time, reason for stop.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Rejection or commitment without evidence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Reject draft or limit to follow-up question.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Service management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Missing evidence, version, short rationale.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Model text departs from rule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No closure; compare rule and draft.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Service management; management for rule issue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Rule version, deviation, decision.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Earlier commitment contested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No automatic repetition or rejection.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Service management; renewed human review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Customer notice, previous message, review request.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Service worker cannot explain proposal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Do not label reviewed; follow-up or escalation.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Service management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Missing information or rule.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Contract, warranty, liability, cross-border delivery or new data sharing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Create narrow specialist-review request.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Specialist review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Facts, jurisdiction, records, cut-off date, open question.</w:t>
            </w:r>
          </w:p>
        </w:tc>
      </w:tr>
    </w:tbl>
    <w:p>
      <w:pPr>
        <w:spacing w:before="120" w:after="80"/>
        <w:keepNext/>
      </w:pPr>
      <w:r>
        <w:rPr>
          <w:rFonts w:ascii="Arial" w:hAnsi="Arial"/>
          <w:b/>
          <w:i w:val="0"/>
          <w:color w:val="000000"/>
          <w:sz w:val="21"/>
        </w:rPr>
        <w:t>Minimum decision trail</w:t>
      </w:r>
    </w:p>
    <w:p>
      <w:pPr>
        <w:spacing w:after="80" w:line="259" w:lineRule="auto"/>
      </w:pPr>
      <w:r>
        <w:rPr>
          <w:rFonts w:ascii="Arial" w:hAnsi="Arial"/>
          <w:b w:val="0"/>
          <w:i w:val="0"/>
          <w:color w:val="1A1A1A"/>
          <w:sz w:val="17"/>
        </w:rPr>
        <w:t>Case ID; purpose and boundary; permitted inputs; model, prompt and rule version with time; original records; draft; human change, approval or rejection with reason; escalation and outcome; intended unsent message; feedback or correction. It makes the process checkable but does not prove the decision right.</w:t>
      </w:r>
    </w:p>
    <w:p>
      <w:pPr>
        <w:spacing w:before="160" w:after="80"/>
        <w:keepNext/>
      </w:pPr>
      <w:r>
        <w:rPr>
          <w:rFonts w:ascii="Arial" w:hAnsi="Arial"/>
          <w:b/>
          <w:i w:val="0"/>
          <w:color w:val="000000"/>
          <w:sz w:val="26"/>
        </w:rPr>
        <w:t>Blank template for a fictional case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14"/>
        <w:gridCol w:w="5314"/>
      </w:tblGrid>
      <w:tr>
        <w:trPr>
          <w:tblHeader w:val="true"/>
          <w:cantSplit/>
        </w:trPr>
        <w:tc>
          <w:tcPr>
            <w:tcW w:type="dxa" w:w="3888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EAEAEA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000000"/>
                <w:sz w:val="16"/>
              </w:rPr>
              <w:t>Field</w:t>
            </w:r>
          </w:p>
        </w:tc>
        <w:tc>
          <w:tcPr>
            <w:tcW w:type="dxa" w:w="7992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EAEAEA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000000"/>
                <w:sz w:val="16"/>
              </w:rPr>
              <w:t>Entry</w:t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Case ID / fictional process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Which decision does AI prepare?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What may neither be decided automatically nor sent?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Which non-AI alternative is also checked?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Cover role and review time window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</w:tbl>
    <w:p>
      <w:pPr>
        <w:spacing w:after="40" w:line="259" w:lineRule="auto"/>
      </w:pPr>
      <w:r>
        <w:rPr>
          <w:rFonts w:ascii="Arial" w:hAnsi="Arial"/>
          <w:b/>
          <w:i w:val="0"/>
          <w:color w:val="000000"/>
          <w:sz w:val="20"/>
        </w:rPr>
        <w:t>Complete accountability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57"/>
        <w:gridCol w:w="2657"/>
        <w:gridCol w:w="2657"/>
        <w:gridCol w:w="2657"/>
      </w:tblGrid>
      <w:tr>
        <w:trPr>
          <w:tblHeader w:val="true"/>
          <w:cantSplit/>
        </w:trPr>
        <w:tc>
          <w:tcPr>
            <w:tcW w:type="dxa" w:w="2232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4"/>
              </w:rPr>
              <w:t>Trigger / step</w:t>
            </w:r>
          </w:p>
        </w:tc>
        <w:tc>
          <w:tcPr>
            <w:tcW w:type="dxa" w:w="2088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4"/>
              </w:rPr>
              <w:t>Deciding role</w:t>
            </w:r>
          </w:p>
        </w:tc>
        <w:tc>
          <w:tcPr>
            <w:tcW w:type="dxa" w:w="3528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4"/>
              </w:rPr>
              <w:t>Must know and intervene</w:t>
            </w:r>
          </w:p>
        </w:tc>
        <w:tc>
          <w:tcPr>
            <w:tcW w:type="dxa" w:w="4032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4"/>
              </w:rPr>
              <w:t>Cross-check / stop / evidence</w:t>
            </w:r>
          </w:p>
        </w:tc>
      </w:tr>
      <w:tr>
        <w:trPr>
          <w:cantSplit/>
          <w:trHeight w:val="920" w:hRule="atLeast"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AI draft is available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</w:tr>
      <w:tr>
        <w:trPr>
          <w:cantSplit/>
          <w:trHeight w:val="920" w:hRule="atLeast"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Missing or contradictory information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</w:tr>
      <w:tr>
        <w:trPr>
          <w:cantSplit/>
          <w:trHeight w:val="920" w:hRule="atLeast"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High potential consequence or exceptional case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</w:tr>
    </w:tbl>
    <w:p>
      <w:r>
        <w:br w:type="page"/>
      </w:r>
    </w:p>
    <w:p>
      <w:pPr>
        <w:spacing w:before="160" w:after="80"/>
        <w:keepNext/>
      </w:pPr>
      <w:r>
        <w:rPr>
          <w:rFonts w:ascii="Arial" w:hAnsi="Arial"/>
          <w:b/>
          <w:i w:val="0"/>
          <w:color w:val="000000"/>
          <w:sz w:val="26"/>
        </w:rPr>
        <w:t>Blank template continued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57"/>
        <w:gridCol w:w="2657"/>
        <w:gridCol w:w="2657"/>
        <w:gridCol w:w="2657"/>
      </w:tblGrid>
      <w:tr>
        <w:trPr>
          <w:tblHeader w:val="true"/>
          <w:cantSplit/>
        </w:trPr>
        <w:tc>
          <w:tcPr>
            <w:tcW w:type="dxa" w:w="2232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4"/>
              </w:rPr>
              <w:t>Trigger / step</w:t>
            </w:r>
          </w:p>
        </w:tc>
        <w:tc>
          <w:tcPr>
            <w:tcW w:type="dxa" w:w="2088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4"/>
              </w:rPr>
              <w:t>Deciding role</w:t>
            </w:r>
          </w:p>
        </w:tc>
        <w:tc>
          <w:tcPr>
            <w:tcW w:type="dxa" w:w="3528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4"/>
              </w:rPr>
              <w:t>Must know and intervene</w:t>
            </w:r>
          </w:p>
        </w:tc>
        <w:tc>
          <w:tcPr>
            <w:tcW w:type="dxa" w:w="4032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4"/>
              </w:rPr>
              <w:t>Cross-check / stop / evidence</w:t>
            </w:r>
          </w:p>
        </w:tc>
      </w:tr>
      <w:tr>
        <w:trPr>
          <w:cantSplit/>
          <w:trHeight w:val="920" w:hRule="atLeast"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Rule, capacity or cover is insufficient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</w:tr>
      <w:tr>
        <w:trPr>
          <w:cantSplit/>
          <w:trHeight w:val="920" w:hRule="atLeast"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Specialist question with concrete trigger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</w:tr>
      <w:tr>
        <w:trPr>
          <w:cantSplit/>
          <w:trHeight w:val="920" w:hRule="atLeast"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  <w:t>Complaint or correction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4"/>
              </w:rPr>
            </w:r>
          </w:p>
        </w:tc>
      </w:tr>
    </w:tbl>
    <w:p>
      <w:pPr>
        <w:spacing w:before="160" w:after="80"/>
        <w:keepNext/>
      </w:pPr>
      <w:r>
        <w:rPr>
          <w:rFonts w:ascii="Arial" w:hAnsi="Arial"/>
          <w:b/>
          <w:i w:val="0"/>
          <w:color w:val="000000"/>
          <w:sz w:val="26"/>
        </w:rPr>
        <w:t>Three review tasks</w:t>
      </w:r>
    </w:p>
    <w:p>
      <w:pPr>
        <w:spacing w:after="20" w:line="259" w:lineRule="auto"/>
      </w:pPr>
      <w:r>
        <w:rPr>
          <w:rFonts w:ascii="Arial" w:hAnsi="Arial"/>
          <w:b/>
          <w:i w:val="0"/>
          <w:color w:val="000000"/>
          <w:sz w:val="17"/>
        </w:rPr>
        <w:t>Knowledge: Which single missing item prevents the deciding role from responsibly confirming the AI draft? How is it obtained or recorded as a gap?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28"/>
      </w:tblGrid>
      <w:tr>
        <w:trPr>
          <w:trHeight w:val="760" w:hRule="atLeast"/>
        </w:trPr>
        <w:tc>
          <w:tcPr>
            <w:tcW w:type="dxa" w:w="1188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</w:tbl>
    <w:p>
      <w:pPr>
        <w:spacing w:after="60" w:before="0" w:line="96" w:lineRule="auto"/>
      </w:pPr>
    </w:p>
    <w:p>
      <w:pPr>
        <w:spacing w:after="20" w:line="259" w:lineRule="auto"/>
      </w:pPr>
      <w:r>
        <w:rPr>
          <w:rFonts w:ascii="Arial" w:hAnsi="Arial"/>
          <w:b/>
          <w:i w:val="0"/>
          <w:color w:val="000000"/>
          <w:sz w:val="17"/>
        </w:rPr>
        <w:t>Intervention: Formulate a stop signal. Who stops when, what is stopped technically or organisationally, and who decides afterwards?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28"/>
      </w:tblGrid>
      <w:tr>
        <w:trPr>
          <w:trHeight w:val="760" w:hRule="atLeast"/>
        </w:trPr>
        <w:tc>
          <w:tcPr>
            <w:tcW w:type="dxa" w:w="1188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</w:tbl>
    <w:p>
      <w:pPr>
        <w:spacing w:after="60" w:before="0" w:line="96" w:lineRule="auto"/>
      </w:pPr>
    </w:p>
    <w:p>
      <w:pPr>
        <w:spacing w:after="20" w:line="259" w:lineRule="auto"/>
      </w:pPr>
      <w:r>
        <w:rPr>
          <w:rFonts w:ascii="Arial" w:hAnsi="Arial"/>
          <w:b/>
          <w:i w:val="0"/>
          <w:color w:val="000000"/>
          <w:sz w:val="17"/>
        </w:rPr>
        <w:t>Accountability: Which three entries show later that the draft was considered rather than merely clicked?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28"/>
      </w:tblGrid>
      <w:tr>
        <w:trPr>
          <w:trHeight w:val="760" w:hRule="atLeast"/>
        </w:trPr>
        <w:tc>
          <w:tcPr>
            <w:tcW w:type="dxa" w:w="1188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</w:tbl>
    <w:p>
      <w:pPr>
        <w:spacing w:after="60" w:before="0" w:line="96" w:lineRule="auto"/>
      </w:pPr>
    </w:p>
    <w:p>
      <w:pPr>
        <w:spacing w:before="160" w:after="80"/>
        <w:keepNext/>
      </w:pPr>
      <w:r>
        <w:rPr>
          <w:rFonts w:ascii="Arial" w:hAnsi="Arial"/>
          <w:b/>
          <w:i w:val="0"/>
          <w:color w:val="000000"/>
          <w:sz w:val="26"/>
        </w:rPr>
        <w:t>Occasion-specific specialist-review request</w:t>
      </w:r>
    </w:p>
    <w:p>
      <w:pPr>
        <w:spacing w:after="40" w:line="259" w:lineRule="auto"/>
      </w:pPr>
      <w:r>
        <w:rPr>
          <w:rFonts w:ascii="Arial" w:hAnsi="Arial"/>
          <w:b w:val="0"/>
          <w:i w:val="0"/>
          <w:color w:val="1A1A1A"/>
          <w:sz w:val="17"/>
        </w:rPr>
        <w:t>This request is not a legal assessment. It collects the concrete facts so a responsible specialist can answer the limited question or return missing details.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14"/>
        <w:gridCol w:w="5314"/>
      </w:tblGrid>
      <w:tr>
        <w:trPr>
          <w:tblHeader w:val="true"/>
          <w:cantSplit/>
        </w:trPr>
        <w:tc>
          <w:tcPr>
            <w:tcW w:type="dxa" w:w="4392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EAEAEA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000000"/>
                <w:sz w:val="16"/>
              </w:rPr>
              <w:t>Required information</w:t>
            </w:r>
          </w:p>
        </w:tc>
        <w:tc>
          <w:tcPr>
            <w:tcW w:type="dxa" w:w="7488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EAEAEA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000000"/>
                <w:sz w:val="16"/>
              </w:rPr>
              <w:t>Entry</w:t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Concrete question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Product / case / possible consequence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Contract, warranty or other record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Participating systems and data flow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Jurisdiction and cut-off date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Decision deadline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  <w:tr>
        <w:trPr>
          <w:cantSplit/>
        </w:trPr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  <w:t>Missing records / responsible specialist role</w:t>
            </w:r>
          </w:p>
        </w:tc>
        <w:tc>
          <w:tcPr>
            <w:tcW w:type="dxa" w:w="531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</w:tbl>
    <w:p>
      <w:r>
        <w:br w:type="page"/>
      </w:r>
    </w:p>
    <w:p>
      <w:pPr>
        <w:spacing w:before="160" w:after="80"/>
        <w:keepNext/>
      </w:pPr>
      <w:r>
        <w:rPr>
          <w:rFonts w:ascii="Arial" w:hAnsi="Arial"/>
          <w:b/>
          <w:i w:val="0"/>
          <w:color w:val="000000"/>
          <w:sz w:val="26"/>
        </w:rPr>
        <w:t>Teaching: 90 minutes “The click has no name”</w:t>
      </w:r>
    </w:p>
    <w:p>
      <w:pPr>
        <w:spacing w:after="60" w:line="259" w:lineRule="auto"/>
      </w:pPr>
      <w:r>
        <w:rPr>
          <w:rFonts w:ascii="Arial" w:hAnsi="Arial"/>
          <w:b w:val="0"/>
          <w:i w:val="0"/>
          <w:color w:val="1A1A1A"/>
          <w:sz w:val="17"/>
        </w:rPr>
        <w:t>Learning product: each group submits a completed accountability matrix, two reasoned stop signals and a minimum decision trail for fictional R-184. Different solutions are possible if knowledge, intervention right, evidence and feedback are connected intelligibly.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43"/>
        <w:gridCol w:w="3543"/>
        <w:gridCol w:w="3543"/>
      </w:tblGrid>
      <w:tr>
        <w:trPr>
          <w:tblHeader w:val="true"/>
          <w:cantSplit/>
        </w:trPr>
        <w:tc>
          <w:tcPr>
            <w:tcW w:type="dxa" w:w="108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5"/>
              </w:rPr>
              <w:t>Time</w:t>
            </w:r>
          </w:p>
        </w:tc>
        <w:tc>
          <w:tcPr>
            <w:tcW w:type="dxa" w:w="302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5"/>
              </w:rPr>
              <w:t>Working phase</w:t>
            </w:r>
          </w:p>
        </w:tc>
        <w:tc>
          <w:tcPr>
            <w:tcW w:type="dxa" w:w="770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5"/>
              </w:rPr>
              <w:t>Outcome</w:t>
            </w:r>
          </w:p>
        </w:tc>
      </w:tr>
      <w:tr>
        <w:trPr>
          <w:cantSplit/>
        </w:trPr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0–10 min.</w:t>
            </w:r>
          </w:p>
        </w:tc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Read and mark case</w:t>
            </w:r>
          </w:p>
        </w:tc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Mark what the service worker knows, where they can act and who must later explain.</w:t>
            </w:r>
          </w:p>
        </w:tc>
      </w:tr>
      <w:tr>
        <w:trPr>
          <w:cantSplit/>
        </w:trPr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10–25 min.</w:t>
            </w:r>
          </w:p>
        </w:tc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F-A and F-B</w:t>
            </w:r>
          </w:p>
        </w:tc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Separate draft, facts and customer decision; three responsibility-loss hypotheses and a non-AI option.</w:t>
            </w:r>
          </w:p>
        </w:tc>
      </w:tr>
      <w:tr>
        <w:trPr>
          <w:cantSplit/>
        </w:trPr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25–40 min.</w:t>
            </w:r>
          </w:p>
        </w:tc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F-D and F-C</w:t>
            </w:r>
          </w:p>
        </w:tc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“Box opening unclear / safety-relevant / appointment today”: record stop, follow-up and narrow working question.</w:t>
            </w:r>
          </w:p>
        </w:tc>
      </w:tr>
      <w:tr>
        <w:trPr>
          <w:cantSplit/>
        </w:trPr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40–60 min.</w:t>
            </w:r>
          </w:p>
        </w:tc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K exploration and reflection</w:t>
            </w:r>
          </w:p>
        </w:tc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Service worker, warehouse specialist, customer and management: each names an interest and missing information.</w:t>
            </w:r>
          </w:p>
        </w:tc>
      </w:tr>
      <w:tr>
        <w:trPr>
          <w:cantSplit/>
        </w:trPr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60–73 min.</w:t>
            </w:r>
          </w:p>
        </w:tc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K decision</w:t>
            </w:r>
          </w:p>
        </w:tc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Complete matrix; determine knowledge, intervention, evidence, cover and two stop triggers.</w:t>
            </w:r>
          </w:p>
        </w:tc>
      </w:tr>
      <w:tr>
        <w:trPr>
          <w:cantSplit/>
        </w:trPr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73–83 min.</w:t>
            </w:r>
          </w:p>
        </w:tc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R specialist-review request</w:t>
            </w:r>
          </w:p>
        </w:tc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Record relevant question and missing records only; formulate no legal opinion.</w:t>
            </w:r>
          </w:p>
        </w:tc>
      </w:tr>
      <w:tr>
        <w:trPr>
          <w:cantSplit/>
        </w:trPr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83–90 min.</w:t>
            </w:r>
          </w:p>
        </w:tc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Peer review and revision</w:t>
            </w:r>
          </w:p>
        </w:tc>
        <w:tc>
          <w:tcPr>
            <w:tcW w:type="dxa" w:w="3543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5"/>
              </w:rPr>
              <w:t>Second group tests matrix, marks a gap and first group completes it.</w:t>
            </w:r>
          </w:p>
        </w:tc>
      </w:tr>
    </w:tbl>
    <w:p>
      <w:pPr>
        <w:spacing w:before="160" w:after="80"/>
        <w:keepNext/>
      </w:pPr>
      <w:r>
        <w:rPr>
          <w:rFonts w:ascii="Arial" w:hAnsi="Arial"/>
          <w:b/>
          <w:i w:val="0"/>
          <w:color w:val="000000"/>
          <w:sz w:val="26"/>
        </w:rPr>
        <w:t>Assessment rubric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57"/>
        <w:gridCol w:w="2657"/>
        <w:gridCol w:w="2657"/>
        <w:gridCol w:w="2657"/>
      </w:tblGrid>
      <w:tr>
        <w:trPr>
          <w:tblHeader w:val="true"/>
          <w:cantSplit/>
        </w:trPr>
        <w:tc>
          <w:tcPr>
            <w:tcW w:type="dxa" w:w="1944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3"/>
              </w:rPr>
              <w:t>Criterion</w:t>
            </w:r>
          </w:p>
        </w:tc>
        <w:tc>
          <w:tcPr>
            <w:tcW w:type="dxa" w:w="2376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3"/>
              </w:rPr>
              <w:t>0 absent</w:t>
            </w:r>
          </w:p>
        </w:tc>
        <w:tc>
          <w:tcPr>
            <w:tcW w:type="dxa" w:w="2736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3"/>
              </w:rPr>
              <w:t>1 partial</w:t>
            </w:r>
          </w:p>
        </w:tc>
        <w:tc>
          <w:tcPr>
            <w:tcW w:type="dxa" w:w="4752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000000"/>
          </w:tcPr>
          <w:p>
            <w:pPr>
              <w:spacing w:after="0" w:before="0" w:line="247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3"/>
              </w:rPr>
              <w:t>2 traceable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Understanding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Draft and decision treated alike.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Boundary named; gap or consequence unclear.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Draft, facts and decision separate; boundary concrete.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Knowledge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Only an approval request.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Some records named; meaning unclear.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Records, gap and route to clarification concrete.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Intervention and cover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Stop cannot be carried out.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Stop right but no time or cover.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Role, time, action, next role and cover effective.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Accountability and evidence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Only “reviewed” or name.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Decision or reason partly visible.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Version, decision, reason, rule and outcome checkable.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Feedback and cross-check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No route back into process.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Route or check named generally.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Complaint route, renewed review and other case role assigned.</w:t>
            </w:r>
          </w:p>
        </w:tc>
      </w:tr>
      <w:tr>
        <w:trPr>
          <w:cantSplit/>
        </w:trPr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Boundary and specialist request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Blanket approval claimed.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Specialist review too broad.</w:t>
            </w:r>
          </w:p>
        </w:tc>
        <w:tc>
          <w:tcPr>
            <w:tcW w:type="dxa" w:w="2657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  <w:shd w:fill="F4F4F4"/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3"/>
              </w:rPr>
              <w:t>Trigger, narrow question, records and return clear.</w:t>
            </w:r>
          </w:p>
        </w:tc>
      </w:tr>
    </w:tbl>
    <w:p>
      <w:pPr>
        <w:spacing w:after="60" w:line="259" w:lineRule="auto"/>
      </w:pPr>
      <w:r>
        <w:rPr>
          <w:rFonts w:ascii="Arial" w:hAnsi="Arial"/>
          <w:b w:val="0"/>
          <w:i w:val="0"/>
          <w:color w:val="1A1A1A"/>
          <w:sz w:val="16"/>
        </w:rPr>
        <w:t>Evaluation: maximum 12 points. It assesses reasoning, case boundary and verifiable allocation of roles. It measures neither actual learning effect nor the quality of a production AI system.</w:t>
      </w:r>
    </w:p>
    <w:p>
      <w:r>
        <w:br w:type="page"/>
      </w:r>
    </w:p>
    <w:p>
      <w:pPr>
        <w:spacing w:before="160" w:after="80"/>
        <w:keepNext/>
      </w:pPr>
      <w:r>
        <w:rPr>
          <w:rFonts w:ascii="Arial" w:hAnsi="Arial"/>
          <w:b/>
          <w:i w:val="0"/>
          <w:color w:val="000000"/>
          <w:sz w:val="26"/>
        </w:rPr>
        <w:t>Counter-test: the negative test</w:t>
      </w:r>
    </w:p>
    <w:p>
      <w:pPr>
        <w:spacing w:after="100" w:line="259" w:lineRule="auto"/>
      </w:pPr>
      <w:r>
        <w:rPr>
          <w:rFonts w:ascii="Arial" w:hAnsi="Arial"/>
          <w:b w:val="0"/>
          <w:i w:val="0"/>
          <w:color w:val="1A1A1A"/>
          <w:sz w:val="18"/>
        </w:rPr>
        <w:t>A second group receives the same matrix with this change: the service worker can reject the draft, but sees neither the warehouse finding nor the rule version. The draft was marked “reviewed” because they clicked “Send” under time pressure.</w:t>
      </w:r>
    </w:p>
    <w:p>
      <w:pPr>
        <w:spacing w:after="20" w:line="259" w:lineRule="auto"/>
      </w:pPr>
      <w:r>
        <w:rPr>
          <w:rFonts w:ascii="Arial" w:hAnsi="Arial"/>
          <w:b/>
          <w:i w:val="0"/>
          <w:color w:val="000000"/>
          <w:sz w:val="18"/>
        </w:rPr>
        <w:t>May this process count as responsibly reviewed? Give reasons using knowledge, intervention and accountability.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28"/>
      </w:tblGrid>
      <w:tr>
        <w:trPr>
          <w:trHeight w:val="900" w:hRule="atLeast"/>
        </w:trPr>
        <w:tc>
          <w:tcPr>
            <w:tcW w:type="dxa" w:w="1188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</w:tbl>
    <w:p>
      <w:pPr>
        <w:spacing w:after="80" w:before="0" w:line="96" w:lineRule="auto"/>
      </w:pPr>
    </w:p>
    <w:p>
      <w:pPr>
        <w:spacing w:after="20" w:line="259" w:lineRule="auto"/>
      </w:pPr>
      <w:r>
        <w:rPr>
          <w:rFonts w:ascii="Arial" w:hAnsi="Arial"/>
          <w:b/>
          <w:i w:val="0"/>
          <w:color w:val="000000"/>
          <w:sz w:val="18"/>
        </w:rPr>
        <w:t>Which evidence in the decision trail is missing or refutes the claim “reviewed”?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28"/>
      </w:tblGrid>
      <w:tr>
        <w:trPr>
          <w:trHeight w:val="900" w:hRule="atLeast"/>
        </w:trPr>
        <w:tc>
          <w:tcPr>
            <w:tcW w:type="dxa" w:w="1188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</w:tbl>
    <w:p>
      <w:pPr>
        <w:spacing w:after="80" w:before="0" w:line="96" w:lineRule="auto"/>
      </w:pPr>
    </w:p>
    <w:p>
      <w:pPr>
        <w:spacing w:after="20" w:line="259" w:lineRule="auto"/>
      </w:pPr>
      <w:r>
        <w:rPr>
          <w:rFonts w:ascii="Arial" w:hAnsi="Arial"/>
          <w:b/>
          <w:i w:val="0"/>
          <w:color w:val="000000"/>
          <w:sz w:val="18"/>
        </w:rPr>
        <w:t>Which stop must apply, who takes over afterwards, and what information must be available before a new decision?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28"/>
      </w:tblGrid>
      <w:tr>
        <w:trPr>
          <w:trHeight w:val="900" w:hRule="atLeast"/>
        </w:trPr>
        <w:tc>
          <w:tcPr>
            <w:tcW w:type="dxa" w:w="1188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</w:tbl>
    <w:p>
      <w:pPr>
        <w:spacing w:after="80" w:before="0" w:line="96" w:lineRule="auto"/>
      </w:pPr>
    </w:p>
    <w:p>
      <w:pPr>
        <w:spacing w:after="20" w:line="259" w:lineRule="auto"/>
      </w:pPr>
      <w:r>
        <w:rPr>
          <w:rFonts w:ascii="Arial" w:hAnsi="Arial"/>
          <w:b/>
          <w:i w:val="0"/>
          <w:color w:val="000000"/>
          <w:sz w:val="18"/>
        </w:rPr>
        <w:t>Which change to rule, time or cover prevents the same problem from merely being shifted to the next person?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28"/>
      </w:tblGrid>
      <w:tr>
        <w:trPr>
          <w:trHeight w:val="900" w:hRule="atLeast"/>
        </w:trPr>
        <w:tc>
          <w:tcPr>
            <w:tcW w:type="dxa" w:w="11880"/>
            <w:vAlign w:val="center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  <w:insideH w:val="single" w:sz="6" w:space="0" w:color="D9D9D9"/>
              <w:insideV w:val="single" w:sz="6" w:space="0" w:color="D9D9D9"/>
            </w:tcBorders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spacing w:after="0" w:before="0" w:line="247" w:lineRule="auto"/>
              <w:jc w:val="left"/>
            </w:pPr>
            <w:r/>
            <w:r>
              <w:rPr>
                <w:rFonts w:ascii="Arial" w:hAnsi="Arial"/>
                <w:b w:val="0"/>
                <w:i w:val="0"/>
                <w:color w:val="1A1A1A"/>
                <w:sz w:val="16"/>
              </w:rPr>
            </w:r>
          </w:p>
        </w:tc>
      </w:tr>
    </w:tbl>
    <w:p>
      <w:pPr>
        <w:spacing w:after="80" w:before="0" w:line="96" w:lineRule="auto"/>
      </w:pPr>
    </w:p>
    <w:p>
      <w:pPr>
        <w:spacing w:before="160" w:after="80"/>
        <w:keepNext/>
      </w:pPr>
      <w:r>
        <w:rPr>
          <w:rFonts w:ascii="Arial" w:hAnsi="Arial"/>
          <w:b/>
          <w:i w:val="0"/>
          <w:color w:val="000000"/>
          <w:sz w:val="26"/>
        </w:rPr>
        <w:t>Submission and boundary</w:t>
      </w:r>
    </w:p>
    <w:p>
      <w:pPr>
        <w:spacing w:after="80" w:line="259" w:lineRule="auto"/>
      </w:pPr>
      <w:r>
        <w:rPr>
          <w:rFonts w:ascii="Arial" w:hAnsi="Arial"/>
          <w:b w:val="0"/>
          <w:i w:val="0"/>
          <w:color w:val="1A1A1A"/>
          <w:sz w:val="18"/>
        </w:rPr>
        <w:t>Submit the accountability matrix, stop/escalation card, specialist-review request and four sentences on the counter-test: missing knowledge, exercised or missing intervention right, evidence of the decision, and next reasoned action.</w:t>
      </w:r>
    </w:p>
    <w:p>
      <w:pPr>
        <w:spacing w:after="60" w:line="259" w:lineRule="auto"/>
      </w:pPr>
      <w:r>
        <w:rPr>
          <w:rFonts w:ascii="Arial" w:hAnsi="Arial"/>
          <w:b/>
          <w:i w:val="0"/>
          <w:color w:val="000000"/>
          <w:sz w:val="18"/>
        </w:rPr>
        <w:t>The case is fictional and the matrix is a teaching construction. It establishes no legal duties and demonstrates neither typical errors nor the effectiveness of a particular organisational rule. No message is sent.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49" w:right="806" w:bottom="691" w:left="80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i w:val="0"/>
        <w:color w:val="666666"/>
        <w:sz w:val="16"/>
      </w:rPr>
      <w:t xml:space="preserve">Worksheet   |   Page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rial" w:hAnsi="Arial"/>
        <w:b/>
        <w:i w:val="0"/>
        <w:color w:val="555555"/>
        <w:sz w:val="16"/>
      </w:rPr>
      <w:t>AI ETHICS  |  WORKSHEET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A1A1A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Furkan Sakızlı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