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Who owns the data spaces of AI?</w:t>
      </w:r>
    </w:p>
    <w:p>
      <w:pPr>
        <w:spacing w:after="160" w:line="283" w:lineRule="auto"/>
      </w:pPr>
      <w:r>
        <w:rPr>
          <w:rFonts w:ascii="Aptos" w:hAnsi="Aptos"/>
          <w:b w:val="0"/>
          <w:i w:val="0"/>
          <w:color w:val="637087"/>
          <w:sz w:val="25"/>
        </w:rPr>
        <w:t>Why data spaces become governable through traceable rights, federated control, interoperable contracts and a dependable exit architecture rather than one owner.</w:t>
      </w:r>
    </w:p>
    <w:p>
      <w:pPr>
        <w:spacing w:after="280" w:line="283" w:lineRule="auto"/>
      </w:pPr>
      <w:r>
        <w:rPr>
          <w:rFonts w:ascii="Aptos" w:hAnsi="Aptos"/>
          <w:b/>
          <w:i w:val="0"/>
          <w:color w:val="4F7CFF"/>
          <w:sz w:val="17"/>
        </w:rPr>
        <w:t>ESSAY · AI DATA ENGINEERING · 17 MIN READ  ·  Furkan Sakızlı</w:t>
      </w:r>
    </w:p>
    <w:p>
      <w:pPr>
        <w:spacing w:after="280"/>
        <w:jc w:val="center"/>
      </w:pPr>
      <w:r>
        <w:drawing>
          <wp:inline xmlns:a="http://schemas.openxmlformats.org/drawingml/2006/main" xmlns:pic="http://schemas.openxmlformats.org/drawingml/2006/picture">
            <wp:extent cx="6126480" cy="3447977"/>
            <wp:docPr id="1" name="Picture 1" title="Who owns the data spaces of AI?" descr="Bright federated data-space architecture of four transparent rooms with separate keys, blue bridges, a shared catalogue prism and an open exit path."/>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data space rarely belongs to one party. It becomes governable when every data product has explicit decision rights, access conditions, permitted purposes, evidence and a tested route for every participant to leave.</w:t>
            </w:r>
          </w:p>
        </w:tc>
      </w:tr>
    </w:tbl>
    <w:p>
      <w:pPr>
        <w:spacing w:after="140" w:line="283" w:lineRule="auto"/>
      </w:pPr>
      <w:r>
        <w:rPr>
          <w:rFonts w:ascii="Aptos" w:hAnsi="Aptos"/>
          <w:b w:val="0"/>
          <w:i w:val="0"/>
          <w:color w:val="1A2334"/>
          <w:sz w:val="21"/>
        </w:rPr>
        <w:t>AI does not emerge from a model alone. It depends on sources, catalogues, interfaces, identities, contracts, features, vectors, logs and derived products. Once several organisations participate, “Where is the data stored?” is insufficient. Location says little about lawful authority, technical control or economic benefit.</w:t>
      </w:r>
    </w:p>
    <w:p>
      <w:pPr>
        <w:spacing w:after="140" w:line="283" w:lineRule="auto"/>
      </w:pPr>
      <w:r>
        <w:rPr>
          <w:rFonts w:ascii="Aptos" w:hAnsi="Aptos"/>
          <w:b w:val="0"/>
          <w:i w:val="0"/>
          <w:color w:val="1A2334"/>
          <w:sz w:val="21"/>
        </w:rPr>
        <w:t>“Who owns the data space?” is deliberately uncomfortable because ownership is too coarse as a single category. Data can be copied, combined and used concurrently. Personal data is not a physical object owned like a desk. Trade secrets, copyright, database investment, contracts and statutory access claims may shape the same collection differently.</w:t>
      </w:r>
    </w:p>
    <w:p>
      <w:pPr>
        <w:spacing w:after="140" w:line="283" w:lineRule="auto"/>
      </w:pPr>
      <w:r>
        <w:rPr>
          <w:rFonts w:ascii="Aptos" w:hAnsi="Aptos"/>
          <w:b w:val="0"/>
          <w:i w:val="0"/>
          <w:color w:val="1A2334"/>
          <w:sz w:val="21"/>
        </w:rPr>
        <w:t>A dependable data space replaces the search for one owner with a **map of rights, duties, control and accountability**.</w:t>
      </w:r>
    </w:p>
    <w:p>
      <w:pPr>
        <w:keepNext/>
        <w:spacing w:before="320" w:after="120"/>
      </w:pPr>
      <w:r>
        <w:rPr>
          <w:rFonts w:ascii="Georgia" w:hAnsi="Georgia"/>
          <w:b/>
          <w:i w:val="0"/>
          <w:color w:val="1A2334"/>
          <w:sz w:val="32"/>
        </w:rPr>
        <w:t>Federation, not one central repository</w:t>
      </w:r>
    </w:p>
    <w:p>
      <w:pPr>
        <w:spacing w:after="140" w:line="283" w:lineRule="auto"/>
      </w:pPr>
      <w:r>
        <w:rPr>
          <w:rFonts w:ascii="Aptos" w:hAnsi="Aptos"/>
          <w:b w:val="0"/>
          <w:i w:val="0"/>
          <w:color w:val="1A2334"/>
          <w:sz w:val="21"/>
        </w:rPr>
        <w:t>A data space is not merely a very large data lake. In a federated architecture, datasets may remain with providers. Shared identities, catalogues, contracts, policy rules and trust services make them discoverable and conditionally usable. Exchange may occur through download, API, secure processing, query or derived result.</w:t>
      </w:r>
    </w:p>
    <w:p>
      <w:pPr>
        <w:spacing w:after="140" w:line="283" w:lineRule="auto"/>
      </w:pPr>
      <w:r>
        <w:rPr>
          <w:rFonts w:ascii="Aptos" w:hAnsi="Aptos"/>
          <w:b w:val="0"/>
          <w:i w:val="0"/>
          <w:color w:val="1A2334"/>
          <w:sz w:val="21"/>
        </w:rPr>
        <w:t>A catalogue entry is not access; access is not unrestricted use; technical transfer is not a legal basis. A platform does not automatically own every payload because it mediates metadata or transactions.</w:t>
      </w:r>
    </w:p>
    <w:p>
      <w:pPr>
        <w:spacing w:after="140" w:line="283" w:lineRule="auto"/>
      </w:pPr>
      <w:r>
        <w:rPr>
          <w:rFonts w:ascii="Aptos" w:hAnsi="Aptos"/>
          <w:b w:val="0"/>
          <w:i w:val="0"/>
          <w:color w:val="1A2334"/>
          <w:sz w:val="21"/>
        </w:rPr>
        <w:t>Federation distributes power but does not remove it. Whoever admits identities, sets standards, validates policies, ranks catalogue results or excludes participants controls essential parts of the space. Governance must therefore constrain common-service operators as well as data users.</w:t>
      </w:r>
    </w:p>
    <w:p>
      <w:pPr>
        <w:keepNext/>
        <w:spacing w:before="320" w:after="120"/>
      </w:pPr>
      <w:r>
        <w:rPr>
          <w:rFonts w:ascii="Georgia" w:hAnsi="Georgia"/>
          <w:b/>
          <w:i w:val="0"/>
          <w:color w:val="1A2334"/>
          <w:sz w:val="32"/>
        </w:rPr>
        <w:t>Seven questions are better than ownership</w:t>
      </w:r>
    </w:p>
    <w:p>
      <w:pPr>
        <w:spacing w:after="140" w:line="283" w:lineRule="auto"/>
      </w:pPr>
      <w:r>
        <w:rPr>
          <w:rFonts w:ascii="Aptos" w:hAnsi="Aptos"/>
          <w:b w:val="0"/>
          <w:i w:val="0"/>
          <w:color w:val="1A2334"/>
          <w:sz w:val="21"/>
        </w:rPr>
        <w:t>For each data product, ask separately:</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**Origin:** who or what generated, collected or derived it?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**Legal position:** which rights, duties, interests and legal bases apply?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**Decision authority:** who sets purpose, recipients, duration and conditions?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**Technical control:** who operates storage, keys, identities, policies and logs?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**Use scope:** which actions are permitted, prohibited or conditional?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**Value distribution:** who bears cost, receives payment and benefits from derivatives?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**Exit:** how are data, metadata, provenance and models ported, returned or deleted?</w:t>
            </w:r>
          </w:p>
        </w:tc>
      </w:tr>
    </w:tbl>
    <w:p>
      <w:pPr>
        <w:spacing w:after="140" w:line="283" w:lineRule="auto"/>
      </w:pPr>
      <w:r>
        <w:rPr>
          <w:rFonts w:ascii="Aptos" w:hAnsi="Aptos"/>
          <w:b w:val="0"/>
          <w:i w:val="0"/>
          <w:color w:val="1A2334"/>
          <w:sz w:val="21"/>
        </w:rPr>
        <w:t>Answers may identify different actors. A provider controls a dataset, a person retains privacy rights, an operator processes on instructions, a consumer gets purpose-limited access and a regulator may inspect.</w:t>
      </w:r>
    </w:p>
    <w:p>
      <w:pPr>
        <w:keepNext/>
        <w:spacing w:before="320" w:after="120"/>
      </w:pPr>
      <w:r>
        <w:rPr>
          <w:rFonts w:ascii="Georgia" w:hAnsi="Georgia"/>
          <w:b/>
          <w:i w:val="0"/>
          <w:color w:val="1A2334"/>
          <w:sz w:val="32"/>
        </w:rPr>
        <w:t>Do not collapse different data layers</w:t>
      </w:r>
    </w:p>
    <w:p>
      <w:pPr>
        <w:spacing w:after="140" w:line="283" w:lineRule="auto"/>
      </w:pPr>
      <w:r>
        <w:rPr>
          <w:rFonts w:ascii="Aptos" w:hAnsi="Aptos"/>
          <w:b w:val="0"/>
          <w:i w:val="0"/>
          <w:color w:val="1A2334"/>
          <w:sz w:val="21"/>
        </w:rPr>
        <w:t>An AI data space contains raw records, curated datasets, metadata, embeddings, features, training and evaluation sets, parameters, prompts, outputs, feedback, logs and usage statistics. Each layer has its own origin and risk.</w:t>
      </w:r>
    </w:p>
    <w:p>
      <w:pPr>
        <w:spacing w:after="140" w:line="283" w:lineRule="auto"/>
      </w:pPr>
      <w:r>
        <w:rPr>
          <w:rFonts w:ascii="Aptos" w:hAnsi="Aptos"/>
          <w:b w:val="0"/>
          <w:i w:val="0"/>
          <w:color w:val="1A2334"/>
          <w:sz w:val="21"/>
        </w:rPr>
        <w:t>An embedding is not automatically anonymous because people cannot read it. A derived score may be personal data when it relates to an identified or identifiable person. Synthetic data can reveal source information or inherit restrictions. A model may memorise training content without being a copy of the dataset.</w:t>
      </w:r>
    </w:p>
    <w:p>
      <w:pPr>
        <w:spacing w:after="140" w:line="283" w:lineRule="auto"/>
      </w:pPr>
      <w:r>
        <w:rPr>
          <w:rFonts w:ascii="Aptos" w:hAnsi="Aptos"/>
          <w:b w:val="0"/>
          <w:i w:val="0"/>
          <w:color w:val="1A2334"/>
          <w:sz w:val="21"/>
        </w:rPr>
        <w:t>Every data product therefore needs a manifest: type, source, period, version, transformation chain, personal-data status, protection class, quality limits, permitted purpose, prohibited use, retention and deletion route.</w:t>
      </w:r>
    </w:p>
    <w:p>
      <w:pPr>
        <w:keepNext/>
        <w:spacing w:before="320" w:after="120"/>
      </w:pPr>
      <w:r>
        <w:rPr>
          <w:rFonts w:ascii="Georgia" w:hAnsi="Georgia"/>
          <w:b/>
          <w:i w:val="0"/>
          <w:color w:val="1A2334"/>
          <w:sz w:val="32"/>
        </w:rPr>
        <w:t>Access is not the same as use</w:t>
      </w:r>
    </w:p>
    <w:p>
      <w:pPr>
        <w:spacing w:after="140" w:line="283" w:lineRule="auto"/>
      </w:pPr>
      <w:r>
        <w:rPr>
          <w:rFonts w:ascii="Aptos" w:hAnsi="Aptos"/>
          <w:b w:val="0"/>
          <w:i w:val="0"/>
          <w:color w:val="1A2334"/>
          <w:sz w:val="21"/>
        </w:rPr>
        <w:t>A partner may inspect a dataset but lack permission to train a model. It may analyse but not redistribute; produce aggregates but not export individual values; process for a contract but not retain data for product improvement.</w:t>
      </w:r>
    </w:p>
    <w:p>
      <w:pPr>
        <w:spacing w:after="140" w:line="283" w:lineRule="auto"/>
      </w:pPr>
      <w:r>
        <w:rPr>
          <w:rFonts w:ascii="Aptos" w:hAnsi="Aptos"/>
          <w:b w:val="0"/>
          <w:i w:val="0"/>
          <w:color w:val="1A2334"/>
          <w:sz w:val="21"/>
        </w:rPr>
        <w:t>These limits belong in testable policies, roles and technical gates as well as contracts. Machine-readable policy models can express permissions, prohibitions, duties and constraints. They do not replace legal analysis but connect agreed terms to execution.</w:t>
      </w:r>
    </w:p>
    <w:p>
      <w:pPr>
        <w:spacing w:after="140" w:line="283" w:lineRule="auto"/>
      </w:pPr>
      <w:r>
        <w:rPr>
          <w:rFonts w:ascii="Aptos" w:hAnsi="Aptos"/>
          <w:b w:val="0"/>
          <w:i w:val="0"/>
          <w:color w:val="1A2334"/>
          <w:sz w:val="21"/>
        </w:rPr>
        <w:t>An access token therefore references dataset ID, version, purpose, operation, recipient, expiry and onward-sharing rule. A new purpose requires a new review. “Data-space access” must never become a general mandate.</w:t>
      </w:r>
    </w:p>
    <w:p>
      <w:pPr>
        <w:keepNext/>
        <w:spacing w:before="320" w:after="120"/>
      </w:pPr>
      <w:r>
        <w:rPr>
          <w:rFonts w:ascii="Georgia" w:hAnsi="Georgia"/>
          <w:b/>
          <w:i w:val="0"/>
          <w:color w:val="1A2334"/>
          <w:sz w:val="32"/>
        </w:rPr>
        <w:t>The catalogue is a constitutional layer</w:t>
      </w:r>
    </w:p>
    <w:p>
      <w:pPr>
        <w:spacing w:after="140" w:line="283" w:lineRule="auto"/>
      </w:pPr>
      <w:r>
        <w:rPr>
          <w:rFonts w:ascii="Aptos" w:hAnsi="Aptos"/>
          <w:b w:val="0"/>
          <w:i w:val="0"/>
          <w:color w:val="1A2334"/>
          <w:sz w:val="21"/>
        </w:rPr>
        <w:t>Without shared metadata, a federated space is invisible. A catalogue describes datasets and services, publishers, themes, interfaces, coverage, versions and access conditions. Standards such as DCAT support federated search and catalogue exchange.</w:t>
      </w:r>
    </w:p>
    <w:p>
      <w:pPr>
        <w:spacing w:after="140" w:line="283" w:lineRule="auto"/>
      </w:pPr>
      <w:r>
        <w:rPr>
          <w:rFonts w:ascii="Aptos" w:hAnsi="Aptos"/>
          <w:b w:val="0"/>
          <w:i w:val="0"/>
          <w:color w:val="1A2334"/>
          <w:sz w:val="21"/>
        </w:rPr>
        <w:t>Claims must remain evidenced. Quality statements specify measurement and date. Availability, freshness and licence are versioned. A changed policy cannot circulate indefinitely under an undifferentiated identifier.</w:t>
      </w:r>
    </w:p>
    <w:p>
      <w:pPr>
        <w:spacing w:after="140" w:line="283" w:lineRule="auto"/>
      </w:pPr>
      <w:r>
        <w:rPr>
          <w:rFonts w:ascii="Aptos" w:hAnsi="Aptos"/>
          <w:b w:val="0"/>
          <w:i w:val="0"/>
          <w:color w:val="1A2334"/>
          <w:sz w:val="21"/>
        </w:rPr>
        <w:t>Search and ranking are governance issues. Preferential ordering or exposure of sensitive attributes changes market access and risk. Criteria and conflicts of interest should be transparent.</w:t>
      </w:r>
    </w:p>
    <w:p>
      <w:pPr>
        <w:keepNext/>
        <w:spacing w:before="320" w:after="120"/>
      </w:pPr>
      <w:r>
        <w:rPr>
          <w:rFonts w:ascii="Georgia" w:hAnsi="Georgia"/>
          <w:b/>
          <w:i w:val="0"/>
          <w:color w:val="1A2334"/>
          <w:sz w:val="32"/>
        </w:rPr>
        <w:t>Identity and trust remain verifiable</w:t>
      </w:r>
    </w:p>
    <w:p>
      <w:pPr>
        <w:spacing w:after="140" w:line="283" w:lineRule="auto"/>
      </w:pPr>
      <w:r>
        <w:rPr>
          <w:rFonts w:ascii="Aptos" w:hAnsi="Aptos"/>
          <w:b w:val="0"/>
          <w:i w:val="0"/>
          <w:color w:val="1A2334"/>
          <w:sz w:val="21"/>
        </w:rPr>
        <w:t>Participants need more than credentials. The space verifies organisation, role, representation authority and relevant attestations. Trust anchors confirm claims but do not guarantee every transaction. A correctly identified participant can still misuse data.</w:t>
      </w:r>
    </w:p>
    <w:p>
      <w:pPr>
        <w:spacing w:after="140" w:line="283" w:lineRule="auto"/>
      </w:pPr>
      <w:r>
        <w:rPr>
          <w:rFonts w:ascii="Aptos" w:hAnsi="Aptos"/>
          <w:b w:val="0"/>
          <w:i w:val="0"/>
          <w:color w:val="1A2334"/>
          <w:sz w:val="21"/>
        </w:rPr>
        <w:t>Onboarding covers identity, policy acceptance, technical checks, minimum safeguards and contacts. Offboarding revokes tokens, ends transfers, resolves retention duties and preserves evidence. Forgotten service accounts must not retain access.</w:t>
      </w:r>
    </w:p>
    <w:p>
      <w:pPr>
        <w:keepNext/>
        <w:spacing w:before="320" w:after="120"/>
      </w:pPr>
      <w:r>
        <w:rPr>
          <w:rFonts w:ascii="Georgia" w:hAnsi="Georgia"/>
          <w:b/>
          <w:i w:val="0"/>
          <w:color w:val="1A2334"/>
          <w:sz w:val="32"/>
        </w:rPr>
        <w:t>Provenance connects source, use and result</w:t>
      </w:r>
    </w:p>
    <w:p>
      <w:pPr>
        <w:spacing w:after="140" w:line="283" w:lineRule="auto"/>
      </w:pPr>
      <w:r>
        <w:rPr>
          <w:rFonts w:ascii="Aptos" w:hAnsi="Aptos"/>
          <w:b w:val="0"/>
          <w:i w:val="0"/>
          <w:color w:val="1A2334"/>
          <w:sz w:val="21"/>
        </w:rPr>
        <w:t>AI lengthens data chains. An output may combine documents, tables, sensor values, retrieval results and human corrections. Without provenance, teams cannot determine which source influenced a statement, decision or model change.</w:t>
      </w:r>
    </w:p>
    <w:p>
      <w:pPr>
        <w:spacing w:after="140" w:line="283" w:lineRule="auto"/>
      </w:pPr>
      <w:r>
        <w:rPr>
          <w:rFonts w:ascii="Aptos" w:hAnsi="Aptos"/>
          <w:b w:val="0"/>
          <w:i w:val="0"/>
          <w:color w:val="1A2334"/>
          <w:sz w:val="21"/>
        </w:rPr>
        <w:t>A provenance graph references entities, activities and accountable agents. It records which dataset version entered which process and artefact. Sensitive payload need not be copied into the log; stable IDs, hashes and protected references often suffice.</w:t>
      </w:r>
    </w:p>
    <w:p>
      <w:pPr>
        <w:spacing w:after="140" w:line="283" w:lineRule="auto"/>
      </w:pPr>
      <w:r>
        <w:rPr>
          <w:rFonts w:ascii="Aptos" w:hAnsi="Aptos"/>
          <w:b w:val="0"/>
          <w:i w:val="0"/>
          <w:color w:val="1A2334"/>
          <w:sz w:val="21"/>
        </w:rPr>
        <w:t>Provenance supports payment, quality correction, deletion impact and disputes. If a source is withdrawn or found defective, the graph identifies products requiring reassessment.</w:t>
      </w:r>
    </w:p>
    <w:p>
      <w:pPr>
        <w:keepNext/>
        <w:spacing w:before="320" w:after="120"/>
      </w:pPr>
      <w:r>
        <w:rPr>
          <w:rFonts w:ascii="Georgia" w:hAnsi="Georgia"/>
          <w:b/>
          <w:i w:val="0"/>
          <w:color w:val="1A2334"/>
          <w:sz w:val="32"/>
        </w:rPr>
        <w:t>AI training needs its own rights chain</w:t>
      </w:r>
    </w:p>
    <w:p>
      <w:pPr>
        <w:spacing w:after="140" w:line="283" w:lineRule="auto"/>
      </w:pPr>
      <w:r>
        <w:rPr>
          <w:rFonts w:ascii="Aptos" w:hAnsi="Aptos"/>
          <w:b w:val="0"/>
          <w:i w:val="0"/>
          <w:color w:val="1A2334"/>
          <w:sz w:val="21"/>
        </w:rPr>
        <w:t>“Approved for analysis” does not mean “approved for training”. Training creates derivatives that can be difficult to reverse. Terms distinguish foundation training, fine-tuning, evaluation, retrieval indexing and temporary analysis. They also address commercial use, onward transfer, model access, security research and outputs.</w:t>
      </w:r>
    </w:p>
    <w:p>
      <w:pPr>
        <w:spacing w:after="140" w:line="283" w:lineRule="auto"/>
      </w:pPr>
      <w:r>
        <w:rPr>
          <w:rFonts w:ascii="Aptos" w:hAnsi="Aptos"/>
          <w:b w:val="0"/>
          <w:i w:val="0"/>
          <w:color w:val="1A2334"/>
          <w:sz w:val="21"/>
        </w:rPr>
        <w:t>Authority is traced to source. A data space cannot grant broader rights than participants hold. Missing evidence blocks silent inclusion in a training corpus.</w:t>
      </w:r>
    </w:p>
    <w:p>
      <w:pPr>
        <w:spacing w:after="140" w:line="283" w:lineRule="auto"/>
      </w:pPr>
      <w:r>
        <w:rPr>
          <w:rFonts w:ascii="Aptos" w:hAnsi="Aptos"/>
          <w:b w:val="0"/>
          <w:i w:val="0"/>
          <w:color w:val="1A2334"/>
          <w:sz w:val="21"/>
        </w:rPr>
        <w:t>For personal data, purpose limitation, legal basis, transparency, minimisation and individual rights still apply. Agreement between organisations does not automatically create a data-protection permission.</w:t>
      </w:r>
    </w:p>
    <w:p>
      <w:pPr>
        <w:keepNext/>
        <w:spacing w:before="320" w:after="120"/>
      </w:pPr>
      <w:r>
        <w:rPr>
          <w:rFonts w:ascii="Georgia" w:hAnsi="Georgia"/>
          <w:b/>
          <w:i w:val="0"/>
          <w:color w:val="1A2334"/>
          <w:sz w:val="32"/>
        </w:rPr>
        <w:t>The Data Act governs access, not universal ownership</w:t>
      </w:r>
    </w:p>
    <w:p>
      <w:pPr>
        <w:spacing w:after="140" w:line="283" w:lineRule="auto"/>
      </w:pPr>
      <w:r>
        <w:rPr>
          <w:rFonts w:ascii="Aptos" w:hAnsi="Aptos"/>
          <w:b w:val="0"/>
          <w:i w:val="0"/>
          <w:color w:val="1A2334"/>
          <w:sz w:val="21"/>
        </w:rPr>
        <w:t>The EU Data Act includes rules for data from connected products and related services, making data available to users and third parties, and switching data-processing services. It creates concrete access and use relationships, not universal ownership of all generated data.</w:t>
      </w:r>
    </w:p>
    <w:p>
      <w:pPr>
        <w:spacing w:after="140" w:line="283" w:lineRule="auto"/>
      </w:pPr>
      <w:r>
        <w:rPr>
          <w:rFonts w:ascii="Aptos" w:hAnsi="Aptos"/>
          <w:b w:val="0"/>
          <w:i w:val="0"/>
          <w:color w:val="1A2334"/>
          <w:sz w:val="21"/>
        </w:rPr>
        <w:t>The Data Governance Act covers different building blocks, including re-use of certain protected public-sector data, data intermediation services and data altruism. Privacy law continues to apply. Architecture should model these regimes as distinct policy profiles rather than one “EU compliant” label.</w:t>
      </w:r>
    </w:p>
    <w:p>
      <w:pPr>
        <w:keepNext/>
        <w:spacing w:before="320" w:after="120"/>
      </w:pPr>
      <w:r>
        <w:rPr>
          <w:rFonts w:ascii="Georgia" w:hAnsi="Georgia"/>
          <w:b/>
          <w:i w:val="0"/>
          <w:color w:val="1A2334"/>
          <w:sz w:val="32"/>
        </w:rPr>
        <w:t>Portability is incomplete without exit</w:t>
      </w:r>
    </w:p>
    <w:p>
      <w:pPr>
        <w:spacing w:after="140" w:line="283" w:lineRule="auto"/>
      </w:pPr>
      <w:r>
        <w:rPr>
          <w:rFonts w:ascii="Aptos" w:hAnsi="Aptos"/>
          <w:b w:val="0"/>
          <w:i w:val="0"/>
          <w:color w:val="1A2334"/>
          <w:sz w:val="21"/>
        </w:rPr>
        <w:t>Sovereignty is demonstrated during switching. A credible exit exports primary data, metadata, versions, policies, provenance, quality evidence and relevant configuration in documented formats. It defines deadlines, cost, support and deletion confirmation.</w:t>
      </w:r>
    </w:p>
    <w:p>
      <w:pPr>
        <w:spacing w:after="140" w:line="283" w:lineRule="auto"/>
      </w:pPr>
      <w:r>
        <w:rPr>
          <w:rFonts w:ascii="Aptos" w:hAnsi="Aptos"/>
          <w:b w:val="0"/>
          <w:i w:val="0"/>
          <w:color w:val="1A2334"/>
          <w:sz w:val="21"/>
        </w:rPr>
        <w:t>AI adds vector indexes, evaluation cases, feedback history and traceable model adapters. Not everything is portable; proprietary runtime components may impose limits. Those limits must be visible before contracting. An export file without an import path is not portability.</w:t>
      </w:r>
    </w:p>
    <w:p>
      <w:pPr>
        <w:spacing w:after="140" w:line="283" w:lineRule="auto"/>
      </w:pPr>
      <w:r>
        <w:rPr>
          <w:rFonts w:ascii="Aptos" w:hAnsi="Aptos"/>
          <w:b w:val="0"/>
          <w:i w:val="0"/>
          <w:color w:val="1A2334"/>
          <w:sz w:val="21"/>
        </w:rPr>
        <w:t>Exit is tested. Participants measure completeness, restart time, functional loss and residual dependencies. Open standards reduce lock-in but still require semantics and exercises.</w:t>
      </w:r>
    </w:p>
    <w:p>
      <w:pPr>
        <w:keepNext/>
        <w:spacing w:before="320" w:after="120"/>
      </w:pPr>
      <w:r>
        <w:rPr>
          <w:rFonts w:ascii="Georgia" w:hAnsi="Georgia"/>
          <w:b/>
          <w:i w:val="0"/>
          <w:color w:val="1A2334"/>
          <w:sz w:val="32"/>
        </w:rPr>
        <w:t>The control plane must not become a hidden owner</w:t>
      </w:r>
    </w:p>
    <w:p>
      <w:pPr>
        <w:spacing w:after="140" w:line="283" w:lineRule="auto"/>
      </w:pPr>
      <w:r>
        <w:rPr>
          <w:rFonts w:ascii="Aptos" w:hAnsi="Aptos"/>
          <w:b w:val="0"/>
          <w:i w:val="0"/>
          <w:color w:val="1A2334"/>
          <w:sz w:val="21"/>
        </w:rPr>
        <w:t>Identity, catalogue, policy, billing and audit form a common control plane. It sees extensive metadata and can shape access. It therefore needs purpose limitation, separated roles, transparent rules, auditability and replaceable components.</w:t>
      </w:r>
    </w:p>
    <w:p>
      <w:pPr>
        <w:spacing w:after="140" w:line="283" w:lineRule="auto"/>
      </w:pPr>
      <w:r>
        <w:rPr>
          <w:rFonts w:ascii="Aptos" w:hAnsi="Aptos"/>
          <w:b w:val="0"/>
          <w:i w:val="0"/>
          <w:color w:val="1A2334"/>
          <w:sz w:val="21"/>
        </w:rPr>
        <w:t>An operator may not automatically use transaction data for its own models or market analysis. Secondary use requires separate authority. Logs are minimised and retained according to protection need, protected from manipulation but not stored forever by default.</w:t>
      </w:r>
    </w:p>
    <w:p>
      <w:pPr>
        <w:keepNext/>
        <w:spacing w:before="320" w:after="120"/>
      </w:pPr>
      <w:r>
        <w:rPr>
          <w:rFonts w:ascii="Georgia" w:hAnsi="Georgia"/>
          <w:b/>
          <w:i w:val="0"/>
          <w:color w:val="1A2334"/>
          <w:sz w:val="32"/>
        </w:rPr>
        <w:t>A charter turns rights into operation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identify data products, derivatives, roles and systems.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assess personal data, protected interests, secrets, impact and quality.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**AUTHORISE:** define purpose, operation, recipient, duration and duties.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**CATALOGUE:** publish standardised, versioned and evidenced metadata.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**EXCHANGE:** provide minimum necessary data through controlled interfaces.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connect source, policy, activity and result through provenance.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**ENFORCE:** stop violations, revoke tokens and handle incidents.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**SETTLE:** govern payment, correction, liability and disputes.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**EXIT:** test portability, deletion, evidence and offboarding.</w:t>
            </w:r>
          </w:p>
        </w:tc>
      </w:tr>
    </w:tbl>
    <w:p>
      <w:pPr>
        <w:spacing w:after="140" w:line="283" w:lineRule="auto"/>
      </w:pPr>
      <w:r>
        <w:rPr>
          <w:rFonts w:ascii="Aptos" w:hAnsi="Aptos"/>
          <w:b w:val="0"/>
          <w:i w:val="0"/>
          <w:color w:val="1A2334"/>
          <w:sz w:val="21"/>
        </w:rPr>
        <w:t>The data space therefore belongs neither simply to its operator, provider nor AI. It is a governed relationship among participants. Sovereignty is not owning everything; it is proving rights, enforcing limits, understanding dependencies and leaving without losing control.</w:t>
      </w:r>
    </w:p>
    <w:p>
      <w:pPr>
        <w:keepNext/>
        <w:spacing w:before="320" w:after="120"/>
      </w:pPr>
      <w:r>
        <w:rPr>
          <w:rFonts w:ascii="Georgia" w:hAnsi="Georgia"/>
          <w:b/>
          <w:i w:val="0"/>
          <w:color w:val="1A2334"/>
          <w:sz w:val="32"/>
        </w:rPr>
        <w:t>Worksheet: Design a Data-Space Rights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Choose a data product and separate raw data, derivatives, metadata, outputs and logs.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origin, legal position, decision maker and technical controller to each layer.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permitted purposes, prohibited uses, duties and expiry.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catalogue fields, quality evidence and version logic.</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Draw identity, authorisation, exchange and provenance paths.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payment, incident, correction and dispute processes.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Run an exit test covering export, import, deletion and evidence.</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Who can currently decide about data without explicit authority? ______________________________________</w:t>
      </w:r>
    </w:p>
    <w:p>
      <w:pPr>
        <w:spacing w:after="140" w:line="283" w:lineRule="auto"/>
      </w:pPr>
      <w:r>
        <w:rPr>
          <w:rFonts w:ascii="Aptos" w:hAnsi="Aptos"/>
          <w:b w:val="0"/>
          <w:i w:val="0"/>
          <w:color w:val="1A2334"/>
          <w:sz w:val="21"/>
        </w:rPr>
        <w:t>Which information would be irretrievably lost during provider switching? 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Data Act – Regulation (EU) 2023/2854](https://eur-lex.europa.eu/eli/reg/2023/2854/oj/eng) – harmonised rules for fair data access and use, user rights, data sharing and switching between data-processing services.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Data Governance Act – Regulation (EU) 2022/868](https://eur-lex.europa.eu/eli/reg/2022/868/oj/eng) – governance for re-use of certain protected public-sector data, data intermediation services and data altruism.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[GDPR – Regulation (EU) 2016/679](https://eur-lex.europa.eu/eli/reg/2016/679/oj/eng) – roles, legal bases and rights in personal-data processing.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 European strategy for data](https://commission.europa.eu/document/download/e052551b-50d9-4c7d-9166-95b7718a80b6_en) – policy framework for sectoral common European data spaces.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DCAT 3](https://www.w3.org/TR/vocab-dcat-3/) – interoperable description of datasets and data services in federated catalogues.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ODRL Information Model 2.2](https://www.w3.org/TR/odrl-model/) – machine-readable expression of permissions, prohibitions, duties and constraints.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interoperable provenance across entities, activities and agents.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[Gaia-X Architecture Document 25.05](https://docs.gaia-x.eu/technical-committee/architecture-document/25.05/pdf/document.pdf) – federated governance, trust anchors, verifiable claims, onboarding and offboarding.</w:t>
      </w:r>
    </w:p>
    <w:p>
      <w:r>
        <w:br w:type="page"/>
      </w:r>
    </w:p>
    <w:p>
      <w:pPr>
        <w:keepNext/>
        <w:spacing w:before="320" w:after="120"/>
      </w:pPr>
      <w:r>
        <w:rPr>
          <w:rFonts w:ascii="Georgia" w:hAnsi="Georgia"/>
          <w:b/>
          <w:i w:val="0"/>
          <w:color w:val="1A2334"/>
          <w:sz w:val="32"/>
        </w:rPr>
        <w:t>Working template: Data-Space Rights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Data product / layer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Origin / rights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Authority / controller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Purpose / permission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Policy / provenance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Value / dispute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Portability / exit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Who owns the data spaces of 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