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20" w:line="240" w:lineRule="auto"/>
      </w:pPr>
      <w:r>
        <w:rPr>
          <w:rFonts w:ascii="IBM Plex Mono" w:hAnsi="IBM Plex Mono" w:eastAsia="IBM Plex Mono"/>
          <w:b/>
          <w:i w:val="0"/>
          <w:color w:val="4F7CFF"/>
          <w:sz w:val="18"/>
        </w:rPr>
        <w:t>FURKAN SAKIZLI</w:t>
      </w:r>
      <w:r>
        <w:rPr>
          <w:rFonts w:ascii="IBM Plex Mono" w:hAnsi="IBM Plex Mono" w:eastAsia="IBM Plex Mono"/>
          <w:b w:val="0"/>
          <w:i w:val="0"/>
          <w:color w:val="637087"/>
          <w:sz w:val="18"/>
        </w:rPr>
        <w:t xml:space="preserve">  ·  ESSAY · AI &amp; WORK</w:t>
      </w:r>
    </w:p>
    <w:p>
      <w:pPr>
        <w:spacing w:after="160" w:line="235" w:lineRule="auto"/>
      </w:pPr>
      <w:r>
        <w:rPr>
          <w:rFonts w:ascii="Fraunces" w:hAnsi="Fraunces" w:eastAsia="Fraunces"/>
          <w:b/>
          <w:i w:val="0"/>
          <w:color w:val="1A2334"/>
          <w:sz w:val="56"/>
        </w:rPr>
        <w:t>A second brain for people and models</w:t>
      </w:r>
    </w:p>
    <w:p>
      <w:pPr>
        <w:spacing w:after="340" w:line="293" w:lineRule="auto"/>
      </w:pPr>
      <w:r>
        <w:rPr>
          <w:rFonts w:ascii="Source Serif 4" w:hAnsi="Source Serif 4" w:eastAsia="Source Serif 4"/>
          <w:b w:val="0"/>
          <w:i/>
          <w:color w:val="637087"/>
          <w:sz w:val="26"/>
        </w:rPr>
        <w:t>How a readable knowledge system grows from notes, decisions and connections.</w:t>
      </w:r>
    </w:p>
    <w:p>
      <w:pPr>
        <w:spacing w:after="420"/>
      </w:pPr>
      <w:r>
        <w:rPr>
          <w:rFonts w:ascii="IBM Plex Mono" w:hAnsi="IBM Plex Mono" w:eastAsia="IBM Plex Mono"/>
          <w:b w:val="0"/>
          <w:i w:val="0"/>
          <w:color w:val="4F7CFF"/>
          <w:sz w:val="17"/>
        </w:rPr>
        <w:t>7 MIN. READ  ·  Furkan Sakızlı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EEF1F7"/>
            <w:tcMar>
              <w:top w:w="190" w:type="dxa"/>
              <w:start w:w="220" w:type="dxa"/>
              <w:bottom w:w="190" w:type="dxa"/>
              <w:end w:w="220" w:type="dxa"/>
            </w:tcMar>
            <w:vAlign w:val="center"/>
          </w:tcPr>
          <w:p>
            <w:pPr>
              <w:spacing w:line="307" w:lineRule="auto"/>
            </w:pPr>
            <w:r>
              <w:rPr>
                <w:rFonts w:ascii="Source Serif 4" w:hAnsi="Source Serif 4" w:eastAsia="Source Serif 4"/>
                <w:b w:val="0"/>
                <w:i/>
                <w:color w:val="1A2334"/>
                <w:sz w:val="25"/>
              </w:rPr>
              <w:t>Knowledge rarely disappears because it was never captured. It disappears because it cannot later be found, understood or developed further. A second brain does not solve this with a perfect app, but with a simple promise: what matters gets a place, a clear name and a connection to what follows from it.</w:t>
            </w:r>
          </w:p>
        </w:tc>
      </w:tr>
    </w:tbl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Do not collect more; find again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Many folders grow like attics. There are PDFs, screenshots, chat excerpts and loose ideas, but no clear answer to the essential question: which of these still applies? A second brain is therefore not a digital warehouse. It is a working space you can enter again later.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The benchmark is surprisingly human: after three months, can you understand why a note exists, what it refers to and what you meant to do with it? If you can, a model can work with it meaningfully too, with far less explanation.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The smallest useful structure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You do not need a database or a complex taxonomy at the start. Three note types are enough: sources record what you saw or read; decisions record what applies to your project; working notes connect both to a next action.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Folders provide a calm frame. Links provide meaning. A note about a client conversation becomes valuable when it points to the decision made and to the draft that emerged from it. That creates a traceable path rather than an isolated pile.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Readable for people, usable by models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good knowledge base does not have to be mysterious or technical. Clear headings, short paragraphs, a date, a stated status and unambiguous links make it readable for you. The same clarity helps a model locate relevant passages instead of interpreting an unordered mountain of material.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The aim is not to hand your thinking over to a model. It is to record your thinking clearly enough that you can decide what to adopt, discard or develop.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A small vault that is allowed to grow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80" w:type="dxa"/>
              <w:start w:w="210" w:type="dxa"/>
              <w:bottom w:w="180" w:type="dxa"/>
              <w:end w:w="210" w:type="dxa"/>
            </w:tcMar>
          </w:tcPr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PROJECT: NEW WEBSITE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## Decision: Tone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The presence should feel calm, precise and personal.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**Reason:** [[Client conversation]]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**Consequence:** [[Homepage draft]]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## Source: Client conversation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Clear services, little jargon and a quick entry matter.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**Continue to:** [[Decision: Tone]]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## Working note: Homepage draft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The order of the three core offers is still open.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**Foundation:** [[Decision: Tone]]</w:t>
            </w:r>
          </w:p>
        </w:tc>
      </w:tr>
    </w:tbl>
    <w:p>
      <w:pPr>
        <w:spacing w:before="24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second brain is not a second self. It is a reliable place between memory and decision. The more clearly it grows, the less you have to explain from the beginning—to yourself, your team or a model.</w:t>
      </w:r>
    </w:p>
    <w:p>
      <w:r>
        <w:br w:type="page"/>
      </w:r>
    </w:p>
    <w:p>
      <w:pPr>
        <w:spacing w:after="140"/>
      </w:pPr>
      <w:r>
        <w:rPr>
          <w:rFonts w:ascii="Fraunces" w:hAnsi="Fraunces" w:eastAsia="Fraunces"/>
          <w:b/>
          <w:i w:val="0"/>
          <w:color w:val="1A2334"/>
          <w:sz w:val="50"/>
        </w:rPr>
        <w:t>Worksheet: Build your first small knowledge space</w:t>
      </w:r>
    </w:p>
    <w:p>
      <w:pPr>
        <w:spacing w:before="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Choose a current project. Create three short Markdown notes and connect them.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1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1. Record one source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Write down what you learned. Give the note a clear title.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2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2. Formulate one decision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Record what follows from the source for your project—and why.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3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3. Create a working note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Write the next concrete step and link the decision.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4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4. Test the path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Open every note. Can you see within two clicks where the decision came from and what happens next?</w:t>
            </w:r>
          </w:p>
        </w:tc>
      </w:tr>
    </w:tbl>
    <w:p>
      <w:pPr>
        <w:spacing w:after="40"/>
      </w:pPr>
    </w:p>
    <w:p>
      <w:pPr>
        <w:spacing w:before="200" w:after="140"/>
      </w:pPr>
      <w:r>
        <w:rPr>
          <w:rFonts w:ascii="Fraunces" w:hAnsi="Fraunces" w:eastAsia="Fraunces"/>
          <w:b/>
          <w:i w:val="0"/>
          <w:color w:val="1A2334"/>
          <w:sz w:val="28"/>
        </w:rPr>
        <w:t>Reflexion / Reflection / Yansıtma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70" w:type="dxa"/>
              <w:start w:w="190" w:type="dxa"/>
              <w:bottom w:w="170" w:type="dxa"/>
              <w:end w:w="190" w:type="dxa"/>
            </w:tcMar>
          </w:tcPr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The connection that gives my project the most clarity today: ___________________________________________________</w:t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The note I will create next: ____________________________________________________________________________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37" w:right="1181" w:bottom="1008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BM Plex Mono" w:hAnsi="IBM Plex Mono" w:eastAsia="IBM Plex Mono"/>
        <w:b w:val="0"/>
        <w:i w:val="0"/>
        <w:color w:val="637087"/>
        <w:sz w:val="16"/>
      </w:rPr>
      <w:t>FURKAN SAKIZLI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erif 4" w:hAnsi="Source Serif 4" w:eastAsia="Source Serif 4"/>
      <w:color w:val="1A233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