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Metadata makes knowledge machine-readable</w:t>
      </w:r>
    </w:p>
    <w:p>
      <w:pPr>
        <w:spacing w:after="160" w:line="283" w:lineRule="auto"/>
      </w:pPr>
      <w:r>
        <w:rPr>
          <w:rFonts w:ascii="Aptos" w:hAnsi="Aptos"/>
          <w:b w:val="0"/>
          <w:i w:val="0"/>
          <w:color w:val="637087"/>
          <w:sz w:val="25"/>
        </w:rPr>
        <w:t>How clear fields, controlled terms and testable rules turn files into a governable knowledge space for AI.</w:t>
      </w:r>
    </w:p>
    <w:p>
      <w:pPr>
        <w:spacing w:after="280" w:line="283" w:lineRule="auto"/>
      </w:pPr>
      <w:r>
        <w:rPr>
          <w:rFonts w:ascii="Aptos" w:hAnsi="Aptos"/>
          <w:b/>
          <w:i w:val="0"/>
          <w:color w:val="4F7CFF"/>
          <w:sz w:val="17"/>
        </w:rPr>
        <w:t>ESSAY · AI DATA ENGINEERING · 12 MIN READ  ·  Furkan Sakızlı</w:t>
      </w:r>
    </w:p>
    <w:p>
      <w:pPr>
        <w:spacing w:after="280"/>
        <w:jc w:val="center"/>
      </w:pPr>
      <w:r>
        <w:drawing>
          <wp:inline xmlns:a="http://schemas.openxmlformats.org/drawingml/2006/main" xmlns:pic="http://schemas.openxmlformats.org/drawingml/2006/picture">
            <wp:extent cx="6126480" cy="3447977"/>
            <wp:docPr id="1" name="Picture 1" title="Metadata makes knowledge machine-readable" descr="Ivory knowledge cards are organised into a structured metadata catalogue through blue fields, stable shapes and fine connections."/>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People infer meaning from context. Machines need meaning expressed as explicit, consistent and testable structure.</w:t>
            </w:r>
          </w:p>
        </w:tc>
      </w:tr>
    </w:tbl>
    <w:p>
      <w:pPr>
        <w:spacing w:after="140" w:line="283" w:lineRule="auto"/>
      </w:pPr>
      <w:r>
        <w:rPr>
          <w:rFonts w:ascii="Aptos" w:hAnsi="Aptos"/>
          <w:b w:val="0"/>
          <w:i w:val="0"/>
          <w:color w:val="1A2334"/>
          <w:sz w:val="21"/>
        </w:rPr>
        <w:t>A folder full of documents is not yet a knowledge system. People often know from experience whether “customer”, “client” and “account” are equivalent or department-specific. They interpret headings, remember responsibilities and recognise obsolete versions. A machine does not automatically possess this tacit organisational knowledge.</w:t>
      </w:r>
    </w:p>
    <w:p>
      <w:pPr>
        <w:spacing w:after="140" w:line="283" w:lineRule="auto"/>
      </w:pPr>
      <w:r>
        <w:rPr>
          <w:rFonts w:ascii="Aptos" w:hAnsi="Aptos"/>
          <w:b w:val="0"/>
          <w:i w:val="0"/>
          <w:color w:val="1A2334"/>
          <w:sz w:val="21"/>
        </w:rPr>
        <w:t>Metadata provides the translation layer. It describes not only *what a file contains*, but *what kind of object it is, which status it has, how it may be used and how it relates to other objects*. Content becomes filterable, comparable, validatable and governable in technical processes.</w:t>
      </w:r>
    </w:p>
    <w:p>
      <w:pPr>
        <w:keepNext/>
        <w:spacing w:before="320" w:after="120"/>
      </w:pPr>
      <w:r>
        <w:rPr>
          <w:rFonts w:ascii="Georgia" w:hAnsi="Georgia"/>
          <w:b/>
          <w:i w:val="0"/>
          <w:color w:val="1A2334"/>
          <w:sz w:val="32"/>
        </w:rPr>
        <w:t>Metadata is operational logic, not decoration</w:t>
      </w:r>
    </w:p>
    <w:p>
      <w:pPr>
        <w:spacing w:after="140" w:line="283" w:lineRule="auto"/>
      </w:pPr>
      <w:r>
        <w:rPr>
          <w:rFonts w:ascii="Aptos" w:hAnsi="Aptos"/>
          <w:b w:val="0"/>
          <w:i w:val="0"/>
          <w:color w:val="1A2334"/>
          <w:sz w:val="21"/>
        </w:rPr>
        <w:t>A title and three keywords can improve search, but rarely support a defensible AI system. Metadata serves several overlapping functions:</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**Descriptive metadata** supports discovery and understanding: title, abstract, topic, language, audience and spatial or temporal coverage.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**Structural metadata** represents composition and relations: a chapter belongs to a report, a table uses a unit, a dataset has a distribution, or a decision supersedes an earlier decision.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**Administrative metadata** governs accountability and use: owner role, approval status, protection class, licence, access, retention and review date.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**Technical metadata** documents processability: format, media type, encoding, schema, size, checksum and interface version.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**Provenance metadata** connects origin and change: source, creator, transformation, tool version, time and derivation.</w:t>
            </w:r>
          </w:p>
        </w:tc>
      </w:tr>
    </w:tbl>
    <w:p>
      <w:pPr>
        <w:spacing w:after="140" w:line="283" w:lineRule="auto"/>
      </w:pPr>
      <w:r>
        <w:rPr>
          <w:rFonts w:ascii="Aptos" w:hAnsi="Aptos"/>
          <w:b w:val="0"/>
          <w:i w:val="0"/>
          <w:color w:val="1A2334"/>
          <w:sz w:val="21"/>
        </w:rPr>
        <w:t>These categories are not a universal filing cabinet. Their operational effect matters. A field belongs in a profile because it enables a specific selection, control, explanation or automation—not because it sounds professional.</w:t>
      </w:r>
    </w:p>
    <w:p>
      <w:pPr>
        <w:keepNext/>
        <w:spacing w:before="320" w:after="120"/>
      </w:pPr>
      <w:r>
        <w:rPr>
          <w:rFonts w:ascii="Georgia" w:hAnsi="Georgia"/>
          <w:b/>
          <w:i w:val="0"/>
          <w:color w:val="1A2334"/>
          <w:sz w:val="32"/>
        </w:rPr>
        <w:t>Identify the described object first</w:t>
      </w:r>
    </w:p>
    <w:p>
      <w:pPr>
        <w:spacing w:after="140" w:line="283" w:lineRule="auto"/>
      </w:pPr>
      <w:r>
        <w:rPr>
          <w:rFonts w:ascii="Aptos" w:hAnsi="Aptos"/>
          <w:b w:val="0"/>
          <w:i w:val="0"/>
          <w:color w:val="1A2334"/>
          <w:sz w:val="21"/>
        </w:rPr>
        <w:t>Many metadata errors begin with ambiguity about *what* a property describes. Does the licence apply to the abstract dataset or a particular CSV distribution? Does `modified` refer to content, export or search index? Does the language apply to the whole document or one section?</w:t>
      </w:r>
    </w:p>
    <w:p>
      <w:pPr>
        <w:spacing w:after="140" w:line="283" w:lineRule="auto"/>
      </w:pPr>
      <w:r>
        <w:rPr>
          <w:rFonts w:ascii="Aptos" w:hAnsi="Aptos"/>
          <w:b w:val="0"/>
          <w:i w:val="0"/>
          <w:color w:val="1A2334"/>
          <w:sz w:val="21"/>
        </w:rPr>
        <w:t>Every described object therefore needs a persistent identifier and explicit type. A document, version, segment, dataset, distribution, model artefact and AI output are different entities. Mixing them in one record creates apparent contradictions that actually concern different layers.</w:t>
      </w:r>
    </w:p>
    <w:p>
      <w:pPr>
        <w:spacing w:after="140" w:line="283" w:lineRule="auto"/>
      </w:pPr>
      <w:r>
        <w:rPr>
          <w:rFonts w:ascii="Aptos" w:hAnsi="Aptos"/>
          <w:b w:val="0"/>
          <w:i w:val="0"/>
          <w:color w:val="1A2334"/>
          <w:sz w:val="21"/>
        </w:rPr>
        <w:t>A stable identity model supports relations without relying on filenames. `report_final_2.pdf` is not a dependable identifier. A persistent ID survives changes in location or display name. Versions receive separate identifiers and are connected with relations such as `isVersionOf`, `hasPart`, `derivedFrom` or `supersedes`.</w:t>
      </w:r>
    </w:p>
    <w:p>
      <w:pPr>
        <w:keepNext/>
        <w:spacing w:before="320" w:after="120"/>
      </w:pPr>
      <w:r>
        <w:rPr>
          <w:rFonts w:ascii="Georgia" w:hAnsi="Georgia"/>
          <w:b/>
          <w:i w:val="0"/>
          <w:color w:val="1A2334"/>
          <w:sz w:val="32"/>
        </w:rPr>
        <w:t>Controlled terms prevent semantic fragmentation</w:t>
      </w:r>
    </w:p>
    <w:p>
      <w:pPr>
        <w:spacing w:after="140" w:line="283" w:lineRule="auto"/>
      </w:pPr>
      <w:r>
        <w:rPr>
          <w:rFonts w:ascii="Aptos" w:hAnsi="Aptos"/>
          <w:b w:val="0"/>
          <w:i w:val="0"/>
          <w:color w:val="1A2334"/>
          <w:sz w:val="21"/>
        </w:rPr>
        <w:t>Free tags are easy to introduce and easy to fragment. “HR”, “Human Resources”, “People”, local translations and spelling variants become separate search spaces. A controlled vocabulary defines preferred terms, synonyms, broader and narrower concepts and, where needed, mappings to other vocabularies.</w:t>
      </w:r>
    </w:p>
    <w:p>
      <w:pPr>
        <w:spacing w:after="140" w:line="283" w:lineRule="auto"/>
      </w:pPr>
      <w:r>
        <w:rPr>
          <w:rFonts w:ascii="Aptos" w:hAnsi="Aptos"/>
          <w:b w:val="0"/>
          <w:i w:val="0"/>
          <w:color w:val="1A2334"/>
          <w:sz w:val="21"/>
        </w:rPr>
        <w:t>This does not require every organisation to build a comprehensive ontology. A small versioned vocabulary for object type, status, domain, protection class and permitted use is often enough. Definitions, accountable ownership, change process and stable codes matter. Interfaces may display translated labels while systems process the same language-neutral code.</w:t>
      </w:r>
    </w:p>
    <w:p>
      <w:pPr>
        <w:spacing w:after="140" w:line="283" w:lineRule="auto"/>
      </w:pPr>
      <w:r>
        <w:rPr>
          <w:rFonts w:ascii="Aptos" w:hAnsi="Aptos"/>
          <w:b w:val="0"/>
          <w:i w:val="0"/>
          <w:color w:val="1A2334"/>
          <w:sz w:val="21"/>
        </w:rPr>
        <w:t>A data dictionary adds field-level precision: name, professional definition, type, unit, allowed values, cardinality, null semantics, origin and owner. “Unknown”, “not collected”, “not applicable” and a technically empty value are not professionally equivalent states.</w:t>
      </w:r>
    </w:p>
    <w:p>
      <w:pPr>
        <w:keepNext/>
        <w:spacing w:before="320" w:after="120"/>
      </w:pPr>
      <w:r>
        <w:rPr>
          <w:rFonts w:ascii="Georgia" w:hAnsi="Georgia"/>
          <w:b/>
          <w:i w:val="0"/>
          <w:color w:val="1A2334"/>
          <w:sz w:val="32"/>
        </w:rPr>
        <w:t>A schema turns expectations into tests</w:t>
      </w:r>
    </w:p>
    <w:p>
      <w:pPr>
        <w:spacing w:after="140" w:line="283" w:lineRule="auto"/>
      </w:pPr>
      <w:r>
        <w:rPr>
          <w:rFonts w:ascii="Aptos" w:hAnsi="Aptos"/>
          <w:b w:val="0"/>
          <w:i w:val="0"/>
          <w:color w:val="1A2334"/>
          <w:sz w:val="21"/>
        </w:rPr>
        <w:t>A vocabulary specifies *which concepts* apply. A schema specifies *which structure* a record must satisfy. It defines types, required properties, permitted values, patterns and dependencies. An application profile selects and constrains general standards for a particular operational purpose.</w:t>
      </w:r>
    </w:p>
    <w:tbl>
      <w:tblPr>
        <w:tblW w:type="auto" w:w="0"/>
        <w:jc w:val="center"/>
        <w:tblLayout w:type="fixed"/>
        <w:tblLook w:firstColumn="1" w:firstRow="1" w:lastColumn="0" w:lastRow="0" w:noHBand="0" w:noVBand="1" w:val="04A0"/>
      </w:tblPr>
      <w:tblGrid>
        <w:gridCol w:w="9648"/>
      </w:tblGrid>
      <w:tr>
        <w:tc>
          <w:tcPr>
            <w:tcW w:type="dxa" w:w="9648"/>
            <w:shd w:fill="1A2334"/>
            <w:tcMar>
              <w:top w:w="160" w:type="dxa"/>
              <w:start w:w="190" w:type="dxa"/>
              <w:bottom w:w="160" w:type="dxa"/>
              <w:end w:w="190" w:type="dxa"/>
            </w:tcMar>
          </w:tcPr>
          <w:p>
            <w:pPr>
              <w:spacing w:line="252" w:lineRule="auto"/>
            </w:pPr>
            <w:r>
              <w:rPr>
                <w:rFonts w:ascii="Courier New" w:hAnsi="Courier New"/>
                <w:b w:val="0"/>
                <w:i w:val="0"/>
                <w:color w:val="FFFFFF"/>
                <w:sz w:val="17"/>
              </w:rPr>
              <w:t>id: policy-042-v3</w:t>
              <w:br/>
              <w:t>object_type: policy</w:t>
              <w:br/>
              <w:t>title: Travel expense policy</w:t>
              <w:br/>
              <w:t>language: en</w:t>
              <w:br/>
              <w:t>status: approved</w:t>
              <w:br/>
              <w:t>valid_from: 2026-04-01</w:t>
              <w:br/>
              <w:t>owner_role: finance_policy_owner</w:t>
              <w:br/>
              <w:t>access_class: internal</w:t>
              <w:br/>
              <w:t>topics: [travel_expenses]</w:t>
              <w:br/>
              <w:t>supersedes: policy-042-v2</w:t>
              <w:br/>
              <w:t>schema_version: knowledge-object-1.2</w:t>
            </w:r>
          </w:p>
        </w:tc>
      </w:tr>
    </w:tbl>
    <w:p>
      <w:pPr>
        <w:spacing w:after="140" w:line="283" w:lineRule="auto"/>
      </w:pPr>
      <w:r>
        <w:rPr>
          <w:rFonts w:ascii="Aptos" w:hAnsi="Aptos"/>
          <w:b w:val="0"/>
          <w:i w:val="0"/>
          <w:color w:val="1A2334"/>
          <w:sz w:val="21"/>
        </w:rPr>
        <w:t>The strength of this record is not its length. Every property has a defined meaning and affects a process. `status` and `valid_from` govern admission to active retrieval. `access_class` constrains visibility. `supersedes` connects versions. `schema_version` records the rules against which the object was validated.</w:t>
      </w:r>
    </w:p>
    <w:p>
      <w:pPr>
        <w:keepNext/>
        <w:spacing w:before="320" w:after="120"/>
      </w:pPr>
      <w:r>
        <w:rPr>
          <w:rFonts w:ascii="Georgia" w:hAnsi="Georgia"/>
          <w:b/>
          <w:i w:val="0"/>
          <w:color w:val="1A2334"/>
          <w:sz w:val="32"/>
        </w:rPr>
        <w:t>Validation is necessary, but it is not proof of truth</w:t>
      </w:r>
    </w:p>
    <w:p>
      <w:pPr>
        <w:spacing w:after="140" w:line="283" w:lineRule="auto"/>
      </w:pPr>
      <w:r>
        <w:rPr>
          <w:rFonts w:ascii="Aptos" w:hAnsi="Aptos"/>
          <w:b w:val="0"/>
          <w:i w:val="0"/>
          <w:color w:val="1A2334"/>
          <w:sz w:val="21"/>
        </w:rPr>
        <w:t>Structural validation can establish whether required fields exist, a date has the expected form or a status belongs to an allowed set. It cannot by itself determine whether the date is factually correct, approval really occurred or a classification is professionally appropriate.</w:t>
      </w:r>
    </w:p>
    <w:p>
      <w:pPr>
        <w:spacing w:after="140" w:line="283" w:lineRule="auto"/>
      </w:pPr>
      <w:r>
        <w:rPr>
          <w:rFonts w:ascii="Aptos" w:hAnsi="Aptos"/>
          <w:b w:val="0"/>
          <w:i w:val="0"/>
          <w:color w:val="1A2334"/>
          <w:sz w:val="21"/>
        </w:rPr>
        <w:t>Metadata quality therefore has at least three layers. **Syntactic quality** checks format and type. **Semantic quality** checks whether values follow defined concepts. **Process quality** checks whether capture, confirmation and change were performed by authorised roles.</w:t>
      </w:r>
    </w:p>
    <w:p>
      <w:pPr>
        <w:spacing w:after="140" w:line="283" w:lineRule="auto"/>
      </w:pPr>
      <w:r>
        <w:rPr>
          <w:rFonts w:ascii="Aptos" w:hAnsi="Aptos"/>
          <w:b w:val="0"/>
          <w:i w:val="0"/>
          <w:color w:val="1A2334"/>
          <w:sz w:val="21"/>
        </w:rPr>
        <w:t>An `approved` field is worthless if anybody can set it. A required field creates false precision when staff invent values because the information is unavailable. Good forms support explicit unknown states, explain meaning and escalate missing critical metadata.</w:t>
      </w:r>
    </w:p>
    <w:p>
      <w:pPr>
        <w:keepNext/>
        <w:spacing w:before="320" w:after="120"/>
      </w:pPr>
      <w:r>
        <w:rPr>
          <w:rFonts w:ascii="Georgia" w:hAnsi="Georgia"/>
          <w:b/>
          <w:i w:val="0"/>
          <w:color w:val="1A2334"/>
          <w:sz w:val="32"/>
        </w:rPr>
        <w:t>Retrieval depends on filter order</w:t>
      </w:r>
    </w:p>
    <w:p>
      <w:pPr>
        <w:spacing w:after="140" w:line="283" w:lineRule="auto"/>
      </w:pPr>
      <w:r>
        <w:rPr>
          <w:rFonts w:ascii="Aptos" w:hAnsi="Aptos"/>
          <w:b w:val="0"/>
          <w:i w:val="0"/>
          <w:color w:val="1A2334"/>
          <w:sz w:val="21"/>
        </w:rPr>
        <w:t>Embeddings capture semantic similarity, but not organisational validity. An obsolete draft may be closer to a query than the brief current approval. A confidential document may be perfectly relevant and still be unavailable to the requester.</w:t>
      </w:r>
    </w:p>
    <w:p>
      <w:pPr>
        <w:spacing w:after="140" w:line="283" w:lineRule="auto"/>
      </w:pPr>
      <w:r>
        <w:rPr>
          <w:rFonts w:ascii="Aptos" w:hAnsi="Aptos"/>
          <w:b w:val="0"/>
          <w:i w:val="0"/>
          <w:color w:val="1A2334"/>
          <w:sz w:val="21"/>
        </w:rPr>
        <w:t>Metadata filtering therefore forms a separate control layer. Tenant, access, status, validity period, language and permitted purpose are evaluated before vector search. Semantic ranking then operates within the authorised candidate set. Deduplication, diversity, source ranking and minimum evidence requirements can follow retrieval.</w:t>
      </w:r>
    </w:p>
    <w:p>
      <w:pPr>
        <w:spacing w:after="140" w:line="283" w:lineRule="auto"/>
      </w:pPr>
      <w:r>
        <w:rPr>
          <w:rFonts w:ascii="Aptos" w:hAnsi="Aptos"/>
          <w:b w:val="0"/>
          <w:i w:val="0"/>
          <w:color w:val="1A2334"/>
          <w:sz w:val="21"/>
        </w:rPr>
        <w:t>Security-critical constraints must not exist only as instructions in a prompt. Access control and tenant separation belong in retrieval and authorisation infrastructure. The model should receive only content it is allowed to process for that request.</w:t>
      </w:r>
    </w:p>
    <w:p>
      <w:pPr>
        <w:spacing w:after="140" w:line="283" w:lineRule="auto"/>
      </w:pPr>
      <w:r>
        <w:rPr>
          <w:rFonts w:ascii="Aptos" w:hAnsi="Aptos"/>
          <w:b w:val="0"/>
          <w:i w:val="0"/>
          <w:color w:val="1A2334"/>
          <w:sz w:val="21"/>
        </w:rPr>
        <w:t>Metadata must also survive at chunk level. An extracted passage should inherit document ID, structural position, heading, language, version, status and authorisation reference. Otherwise indexing strips the text of the professional context needed to interpret it.</w:t>
      </w:r>
    </w:p>
    <w:p>
      <w:pPr>
        <w:keepNext/>
        <w:spacing w:before="320" w:after="120"/>
      </w:pPr>
      <w:r>
        <w:rPr>
          <w:rFonts w:ascii="Georgia" w:hAnsi="Georgia"/>
          <w:b/>
          <w:i w:val="0"/>
          <w:color w:val="1A2334"/>
          <w:sz w:val="32"/>
        </w:rPr>
        <w:t>AI may propose metadata, but should not silently establish it</w:t>
      </w:r>
    </w:p>
    <w:p>
      <w:pPr>
        <w:spacing w:after="140" w:line="283" w:lineRule="auto"/>
      </w:pPr>
      <w:r>
        <w:rPr>
          <w:rFonts w:ascii="Aptos" w:hAnsi="Aptos"/>
          <w:b w:val="0"/>
          <w:i w:val="0"/>
          <w:color w:val="1A2334"/>
          <w:sz w:val="21"/>
        </w:rPr>
        <w:t>Models can classify document types, suggest topics, recognise entities and propose relations. This is valuable preparation. For critical properties—protection class, approval, legal basis or validity—a suggestion must not silently become fact.</w:t>
      </w:r>
    </w:p>
    <w:p>
      <w:pPr>
        <w:spacing w:after="140" w:line="283" w:lineRule="auto"/>
      </w:pPr>
      <w:r>
        <w:rPr>
          <w:rFonts w:ascii="Aptos" w:hAnsi="Aptos"/>
          <w:b w:val="0"/>
          <w:i w:val="0"/>
          <w:color w:val="1A2334"/>
          <w:sz w:val="21"/>
        </w:rPr>
        <w:t>Every machine proposal should retain source object, model or rule version, confidence, rationale, timestamp and decision status. Rejected suggestions remain useful, auditable feedback. Low-risk fields may allow threshold-based acceptance; high-impact properties require confirmation by an accountable role.</w:t>
      </w:r>
    </w:p>
    <w:p>
      <w:pPr>
        <w:spacing w:after="140" w:line="283" w:lineRule="auto"/>
      </w:pPr>
      <w:r>
        <w:rPr>
          <w:rFonts w:ascii="Aptos" w:hAnsi="Aptos"/>
          <w:b w:val="0"/>
          <w:i w:val="0"/>
          <w:color w:val="1A2334"/>
          <w:sz w:val="21"/>
        </w:rPr>
        <w:t>Evaluation must be field-specific. Average tagging accuracy can conceal repeated errors in rare protection classes. Measure class distribution, critical error types, abstention and the cost of false assignment.</w:t>
      </w:r>
    </w:p>
    <w:p>
      <w:pPr>
        <w:keepNext/>
        <w:spacing w:before="320" w:after="120"/>
      </w:pPr>
      <w:r>
        <w:rPr>
          <w:rFonts w:ascii="Georgia" w:hAnsi="Georgia"/>
          <w:b/>
          <w:i w:val="0"/>
          <w:color w:val="1A2334"/>
          <w:sz w:val="32"/>
        </w:rPr>
        <w:t>Schemas and vocabularies have a lifecycle</w:t>
      </w:r>
    </w:p>
    <w:p>
      <w:pPr>
        <w:spacing w:after="140" w:line="283" w:lineRule="auto"/>
      </w:pPr>
      <w:r>
        <w:rPr>
          <w:rFonts w:ascii="Aptos" w:hAnsi="Aptos"/>
          <w:b w:val="0"/>
          <w:i w:val="0"/>
          <w:color w:val="1A2334"/>
          <w:sz w:val="21"/>
        </w:rPr>
        <w:t>Field meanings change. New statuses appear, departments are renamed, categories merge and requirements evolve. If a schema changes without migration, old records may remain technically valid while becoming semantically ambiguous.</w:t>
      </w:r>
    </w:p>
    <w:p>
      <w:pPr>
        <w:spacing w:after="140" w:line="283" w:lineRule="auto"/>
      </w:pPr>
      <w:r>
        <w:rPr>
          <w:rFonts w:ascii="Aptos" w:hAnsi="Aptos"/>
          <w:b w:val="0"/>
          <w:i w:val="0"/>
          <w:color w:val="1A2334"/>
          <w:sz w:val="21"/>
        </w:rPr>
        <w:t>Schemas and vocabularies therefore need their own versions, change notes, owners and mappings. Distinguish compatible additions, changed meaning and breaking structure. Test migrations and never silently force unknown legacy values into a new concept.</w:t>
      </w:r>
    </w:p>
    <w:p>
      <w:pPr>
        <w:spacing w:after="140" w:line="283" w:lineRule="auto"/>
      </w:pPr>
      <w:r>
        <w:rPr>
          <w:rFonts w:ascii="Aptos" w:hAnsi="Aptos"/>
          <w:b w:val="0"/>
          <w:i w:val="0"/>
          <w:color w:val="1A2334"/>
          <w:sz w:val="21"/>
        </w:rPr>
        <w:t>A metadata registry is itself an accountable data product. It records definitions, identifiers, status and relations for the terms used to describe every other object.</w:t>
      </w:r>
    </w:p>
    <w:p>
      <w:pPr>
        <w:keepNext/>
        <w:spacing w:before="320" w:after="120"/>
      </w:pPr>
      <w:r>
        <w:rPr>
          <w:rFonts w:ascii="Georgia" w:hAnsi="Georgia"/>
          <w:b/>
          <w:i w:val="0"/>
          <w:color w:val="1A2334"/>
          <w:sz w:val="32"/>
        </w:rPr>
        <w:t>Test metadata by its operational effect</w:t>
      </w:r>
    </w:p>
    <w:p>
      <w:pPr>
        <w:spacing w:after="140" w:line="283" w:lineRule="auto"/>
      </w:pPr>
      <w:r>
        <w:rPr>
          <w:rFonts w:ascii="Aptos" w:hAnsi="Aptos"/>
          <w:b w:val="0"/>
          <w:i w:val="0"/>
          <w:color w:val="1A2334"/>
          <w:sz w:val="21"/>
        </w:rPr>
        <w:t>The best field list is useless when values are unreliable or ignored by systems. Tests should cover the complete effect chain:</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Can every object be reached through a persistent identifier?</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Are invalid values and missing critical properties rejected?</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Does search return only approved versions valid at the relevant time?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Do permissions survive extraction and chunking?</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Are synonyms mapped to a shared concept code?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Can every record identify its schema and vocabulary version?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Which retrieval failures appear when a property is absent or wrong?</w:t>
            </w:r>
          </w:p>
        </w:tc>
      </w:tr>
    </w:tbl>
    <w:p>
      <w:pPr>
        <w:spacing w:after="140" w:line="283" w:lineRule="auto"/>
      </w:pPr>
      <w:r>
        <w:rPr>
          <w:rFonts w:ascii="Aptos" w:hAnsi="Aptos"/>
          <w:b w:val="0"/>
          <w:i w:val="0"/>
          <w:color w:val="1A2334"/>
          <w:sz w:val="21"/>
        </w:rPr>
        <w:t>The final test is especially revealing: metadata should make a measurable contribution. Compare retrieval with and without status, time, language and topic filters. Measure not only hit rate, but unauthorised results, obsolete evidence and questions that should remain unanswered.</w:t>
      </w:r>
    </w:p>
    <w:p>
      <w:pPr>
        <w:spacing w:after="140" w:line="283" w:lineRule="auto"/>
      </w:pPr>
      <w:r>
        <w:rPr>
          <w:rFonts w:ascii="Aptos" w:hAnsi="Aptos"/>
          <w:b w:val="0"/>
          <w:i w:val="0"/>
          <w:color w:val="1A2334"/>
          <w:sz w:val="21"/>
        </w:rPr>
        <w:t>Metadata does not make knowledge machine-readable by maximising the number of fields. It creates a small, consistent contract between domain meaning and technical execution. Only when definitions, values and effects are tested does a document collection become a governable knowledge space.</w:t>
      </w:r>
    </w:p>
    <w:p>
      <w:pPr>
        <w:keepNext/>
        <w:spacing w:before="320" w:after="120"/>
      </w:pPr>
      <w:r>
        <w:rPr>
          <w:rFonts w:ascii="Georgia" w:hAnsi="Georgia"/>
          <w:b/>
          <w:i w:val="0"/>
          <w:color w:val="1A2334"/>
          <w:sz w:val="32"/>
        </w:rPr>
        <w:t>Worksheet: Design a minimum metadata profile</w:t>
      </w:r>
    </w:p>
    <w:p>
      <w:pPr>
        <w:spacing w:after="140" w:line="283" w:lineRule="auto"/>
      </w:pPr>
      <w:r>
        <w:rPr>
          <w:rFonts w:ascii="Aptos" w:hAnsi="Aptos"/>
          <w:b w:val="0"/>
          <w:i w:val="0"/>
          <w:color w:val="1A2334"/>
          <w:sz w:val="21"/>
        </w:rPr>
        <w:t>Choose a knowledge space containing at least five documents and one concrete AI retrieval task.</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**Separate objects:** define document, version and segment as distinct entities with persistent identifiers.</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**Justify properties:** select twelve properties and state which search, control or automation depends on each one.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**Build vocabularies:** define controlled values for type, status, domain and protection class, including definitions and synonyms.</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**Write the schema:** specify type, required status, cardinality, permitted null states and schema version.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**Test retrieval:** run five questions with and without metadata filters. Record obsolete, unauthorised and missing results.</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**Review AI proposals:** generate topic and type suggestions. Assess confidence, critical errors and necessary human confirmation.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**Simulate migration:** change a status concept and plan mapping, revalidation and treatment of unknown legacy data.</w:t>
            </w:r>
          </w:p>
        </w:tc>
      </w:tr>
    </w:tbl>
    <w:p>
      <w:pPr>
        <w:keepNext/>
        <w:spacing w:before="220" w:after="120"/>
      </w:pPr>
      <w:r>
        <w:rPr>
          <w:rFonts w:ascii="Georgia" w:hAnsi="Georgia"/>
          <w:b/>
          <w:i w:val="0"/>
          <w:color w:val="1A2334"/>
          <w:sz w:val="25"/>
        </w:rPr>
        <w:t>Reflection</w:t>
      </w:r>
    </w:p>
    <w:p>
      <w:pPr>
        <w:spacing w:after="140" w:line="283" w:lineRule="auto"/>
      </w:pPr>
      <w:r>
        <w:rPr>
          <w:rFonts w:ascii="Aptos" w:hAnsi="Aptos"/>
          <w:b w:val="0"/>
          <w:i w:val="0"/>
          <w:color w:val="1A2334"/>
          <w:sz w:val="21"/>
        </w:rPr>
        <w:t>Which property had the largest measurable effect on retrieval or control? __________________________________</w:t>
      </w:r>
    </w:p>
    <w:p>
      <w:pPr>
        <w:spacing w:after="140" w:line="283" w:lineRule="auto"/>
      </w:pPr>
      <w:r>
        <w:rPr>
          <w:rFonts w:ascii="Aptos" w:hAnsi="Aptos"/>
          <w:b w:val="0"/>
          <w:i w:val="0"/>
          <w:color w:val="1A2334"/>
          <w:sz w:val="21"/>
        </w:rPr>
        <w:t>Which property looked useful but had no clear operational purpose? ________________________________________</w:t>
      </w:r>
    </w:p>
    <w:p>
      <w:pPr>
        <w:keepNext/>
        <w:spacing w:before="320" w:after="120"/>
      </w:pPr>
      <w:r>
        <w:rPr>
          <w:rFonts w:ascii="Georgia" w:hAnsi="Georgia"/>
          <w:b/>
          <w:i w:val="0"/>
          <w:color w:val="1A2334"/>
          <w:sz w:val="32"/>
        </w:rPr>
        <w:t>Sources and professional scope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[DCMI Metadata Terms](https://www.dublincore.org/specifications/dublin-core/dcmi-terms/) – maintained terms for description, rights, relations, dates and other metadata.</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[W3C Data Catalog Vocabulary – DCAT 3](https://www.w3.org/TR/vocab-dcat-3/) – RDF vocabulary for interoperable descriptions of catalogues, datasets and distributions.</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[W3C Data on the Web Best Practices](https://www.w3.org/TR/dwbp/) – guidance on human- and machine-readable descriptive and structural metadata, identifiers and vocabularies.</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[W3C SKOS Reference](https://www.w3.org/TR/skos-reference/) – model for representing controlled vocabularies, taxonomies and thesauri.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[JSON Schema Validation, Draft 2020-12](https://json-schema.org/draft/2020-12/json-schema-validation) – vocabulary for structural validation rules such as types, required properties and permitted values.</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[ISO/IEC 11179-3:2023](https://www.iso.org/standard/78915.html) – metamodel for common metadata-registry facilities, including identification, definition, registration, classification and mapping.</w:t>
      </w:r>
    </w:p>
    <w:p>
      <w:pPr>
        <w:spacing w:after="140" w:line="283" w:lineRule="auto"/>
      </w:pPr>
      <w:r>
        <w:rPr>
          <w:rFonts w:ascii="Aptos" w:hAnsi="Aptos"/>
          <w:b w:val="0"/>
          <w:i w:val="0"/>
          <w:color w:val="1A2334"/>
          <w:sz w:val="21"/>
        </w:rPr>
        <w:t>*Scope:* Metadata improves discovery, filtering, interoperability and control. It does not automatically establish that content is true. A syntactically valid record can be professionally wrong, while a correct statement can remain unusable by machines when its meaning is undefined. Appropriate fields and standards depend on the knowledge domain, risk and system design.</w:t>
      </w:r>
    </w:p>
    <w:p>
      <w:r>
        <w:br w:type="page"/>
      </w:r>
    </w:p>
    <w:p>
      <w:pPr>
        <w:keepNext/>
        <w:spacing w:before="320" w:after="120"/>
      </w:pPr>
      <w:r>
        <w:rPr>
          <w:rFonts w:ascii="Georgia" w:hAnsi="Georgia"/>
          <w:b/>
          <w:i w:val="0"/>
          <w:color w:val="1A2334"/>
          <w:sz w:val="32"/>
        </w:rPr>
        <w:t>Working template: Metadata profile</w:t>
      </w:r>
    </w:p>
    <w:tbl>
      <w:tblPr>
        <w:tblW w:type="auto" w:w="0"/>
        <w:jc w:val="center"/>
        <w:tblLayout w:type="fixed"/>
        <w:tblLook w:firstColumn="1" w:firstRow="1" w:lastColumn="0" w:lastRow="0" w:noHBand="0" w:noVBand="1" w:val="04A0"/>
      </w:tblPr>
      <w:tblGrid>
        <w:gridCol w:w="3384"/>
        <w:gridCol w:w="6120"/>
      </w:tblGrid>
      <w:t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Field</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Entry</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Object type / persistent identifier</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Property name and domain definition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Type / cardinality / null semantics</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Controlled vocabulary / permitted values</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Accountable role / confirmation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Effect on search, access or automation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Schema and vocabulary version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Metadata makes knowledge machine-readable</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