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Local, cloud or hybrid? A decision architecture for small and medium-sized businesses</w:t>
      </w:r>
    </w:p>
    <w:p>
      <w:pPr>
        <w:spacing w:after="340" w:line="293" w:lineRule="auto"/>
      </w:pPr>
      <w:r>
        <w:rPr>
          <w:rFonts w:ascii="Source Serif 4" w:hAnsi="Source Serif 4" w:eastAsia="Source Serif 4"/>
          <w:b w:val="0"/>
          <w:i/>
          <w:color w:val="637087"/>
          <w:sz w:val="26"/>
        </w:rPr>
        <w:t>The right question is not: Where does the AI run? It is: Which task may go into which environment?</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The discussion often starts with a false opposition. Local sounds like control; cloud sounds like convenience. In practice, both are only part of the question. What matters is which information a task needs, what a mistake would affect, and how much speed it genuinely requires. Only then does a debate of principles become a durable decision.</w:t>
            </w:r>
          </w:p>
        </w:tc>
      </w:tr>
    </w:tbl>
    <w:p>
      <w:pPr>
        <w:spacing w:before="360" w:after="140"/>
      </w:pPr>
      <w:r>
        <w:rPr>
          <w:rFonts w:ascii="Fraunces" w:hAnsi="Fraunces" w:eastAsia="Fraunces"/>
          <w:b/>
          <w:i w:val="0"/>
          <w:color w:val="1A2334"/>
          <w:sz w:val="36"/>
        </w:rPr>
        <w:t>Do not choose technology first; classify the work</w:t>
      </w:r>
    </w:p>
    <w:p>
      <w:pPr>
        <w:spacing w:before="0" w:after="160" w:line="322" w:lineRule="auto"/>
      </w:pPr>
      <w:r>
        <w:rPr>
          <w:rFonts w:ascii="Source Serif 4" w:hAnsi="Source Serif 4" w:eastAsia="Source Serif 4"/>
          <w:b w:val="0"/>
          <w:i w:val="0"/>
          <w:color w:val="1A2334"/>
          <w:sz w:val="22"/>
        </w:rPr>
        <w:t>A business rarely needs one answer for every AI task. An internal record, a public idea draft and an automated assessment can have very different requirements. Putting them into the same technical drawer creates either unnecessary hurdles or unnecessary risk.</w:t>
      </w:r>
    </w:p>
    <w:p>
      <w:pPr>
        <w:spacing w:before="0" w:after="160" w:line="322" w:lineRule="auto"/>
      </w:pPr>
      <w:r>
        <w:rPr>
          <w:rFonts w:ascii="Source Serif 4" w:hAnsi="Source Serif 4" w:eastAsia="Source Serif 4"/>
          <w:b w:val="0"/>
          <w:i w:val="0"/>
          <w:color w:val="1A2334"/>
          <w:sz w:val="22"/>
        </w:rPr>
        <w:t>A better sequence begins with the work: What is the goal? Which data is actually needed? Who needs to review the outcome? May the material leave the working environment? And what happens if an answer is wrong, late or incomplete? Only these questions reveal which environment fits.</w:t>
      </w:r>
    </w:p>
    <w:p>
      <w:pPr>
        <w:spacing w:before="360" w:after="140"/>
      </w:pPr>
      <w:r>
        <w:rPr>
          <w:rFonts w:ascii="Fraunces" w:hAnsi="Fraunces" w:eastAsia="Fraunces"/>
          <w:b/>
          <w:i w:val="0"/>
          <w:color w:val="1A2334"/>
          <w:sz w:val="36"/>
        </w:rPr>
        <w:t>Three operating zones instead of one matter of belief</w:t>
      </w:r>
    </w:p>
    <w:p>
      <w:pPr>
        <w:spacing w:before="0" w:after="160" w:line="322" w:lineRule="auto"/>
      </w:pPr>
      <w:r>
        <w:rPr>
          <w:rFonts w:ascii="Source Serif 4" w:hAnsi="Source Serif 4" w:eastAsia="Source Serif 4"/>
          <w:b w:val="0"/>
          <w:i w:val="0"/>
          <w:color w:val="1A2334"/>
          <w:sz w:val="22"/>
        </w:rPr>
        <w:t>A simple architecture distinguishes three zones. The open zone contains material that can already be published or carries no confidential detail. It suits early research, ideas, language variants and general drafts. The protected zone contains internal work information that must be clearly limited, approved and processed in a traceable way. The controlled zone covers highly sensitive data or actions with significant consequences. There, data minimisation, clear permissions and human review take priority.</w:t>
      </w:r>
    </w:p>
    <w:p>
      <w:pPr>
        <w:spacing w:before="0" w:after="160" w:line="322" w:lineRule="auto"/>
      </w:pPr>
      <w:r>
        <w:rPr>
          <w:rFonts w:ascii="Source Serif 4" w:hAnsi="Source Serif 4" w:eastAsia="Source Serif 4"/>
          <w:b w:val="0"/>
          <w:i w:val="0"/>
          <w:color w:val="1A2334"/>
          <w:sz w:val="22"/>
        </w:rPr>
        <w:t>These zones are not technical brands or rigid rooms. They are a way of thinking. A task can move from one zone to another when its material is cleaned up or its outcome is approved. This keeps the decision visible instead of hiding it inside a single tool.</w:t>
      </w:r>
    </w:p>
    <w:p>
      <w:pPr>
        <w:spacing w:before="360" w:after="140"/>
      </w:pPr>
      <w:r>
        <w:rPr>
          <w:rFonts w:ascii="Fraunces" w:hAnsi="Fraunces" w:eastAsia="Fraunces"/>
          <w:b/>
          <w:i w:val="0"/>
          <w:color w:val="1A2334"/>
          <w:sz w:val="36"/>
        </w:rPr>
        <w:t>Local, cloud and hybrid as roles</w:t>
      </w:r>
    </w:p>
    <w:p>
      <w:pPr>
        <w:spacing w:before="0" w:after="160" w:line="322" w:lineRule="auto"/>
      </w:pPr>
      <w:r>
        <w:rPr>
          <w:rFonts w:ascii="Source Serif 4" w:hAnsi="Source Serif 4" w:eastAsia="Source Serif 4"/>
          <w:b w:val="0"/>
          <w:i w:val="0"/>
          <w:color w:val="1A2334"/>
          <w:sz w:val="22"/>
        </w:rPr>
        <w:t>A local environment can make sense when data should remain close to an organisation’s own records, when work must be prepared independently, or when a team wants to control a tightly bounded working space. It does not solve every issue by itself: quality, maintenance, access and safe use of data remain work to be designed.</w:t>
      </w:r>
    </w:p>
    <w:p>
      <w:pPr>
        <w:spacing w:before="0" w:after="160" w:line="322" w:lineRule="auto"/>
      </w:pPr>
      <w:r>
        <w:rPr>
          <w:rFonts w:ascii="Source Serif 4" w:hAnsi="Source Serif 4" w:eastAsia="Source Serif 4"/>
          <w:b w:val="0"/>
          <w:i w:val="0"/>
          <w:color w:val="1A2334"/>
          <w:sz w:val="22"/>
        </w:rPr>
        <w:t>A cloud environment can make sense when speed, collaboration or available capabilities matter most for a clearly bounded task. It still needs deliberate data selection: not everything that exists belongs in a request. A hybrid approach combines both. It keeps particularly sensitive information and reviews close to the organisation, while clearly prepared and approved sub-tasks can take place elsewhere.</w:t>
      </w:r>
    </w:p>
    <w:p>
      <w:pPr>
        <w:spacing w:before="360" w:after="140"/>
      </w:pPr>
      <w:r>
        <w:rPr>
          <w:rFonts w:ascii="Fraunces" w:hAnsi="Fraunces" w:eastAsia="Fraunces"/>
          <w:b/>
          <w:i w:val="0"/>
          <w:color w:val="1A2334"/>
          <w:sz w:val="36"/>
        </w:rPr>
        <w:t>The handover is the real security moment</w:t>
      </w:r>
    </w:p>
    <w:p>
      <w:pPr>
        <w:spacing w:before="0" w:after="160" w:line="322" w:lineRule="auto"/>
      </w:pPr>
      <w:r>
        <w:rPr>
          <w:rFonts w:ascii="Source Serif 4" w:hAnsi="Source Serif 4" w:eastAsia="Source Serif 4"/>
          <w:b w:val="0"/>
          <w:i w:val="0"/>
          <w:color w:val="1A2334"/>
          <w:sz w:val="22"/>
        </w:rPr>
        <w:t>In hybrid work, the most important decision often lies not in the model, but at the handover. Which fields are removed? Which names are replaced? Which files are actually necessary? Who may approve the transfer? And how does the result return to the workflow? These questions turn a vague rule into repeatable practice.</w:t>
      </w:r>
    </w:p>
    <w:p>
      <w:pPr>
        <w:spacing w:before="0" w:after="160" w:line="322" w:lineRule="auto"/>
      </w:pPr>
      <w:r>
        <w:rPr>
          <w:rFonts w:ascii="Source Serif 4" w:hAnsi="Source Serif 4" w:eastAsia="Source Serif 4"/>
          <w:b w:val="0"/>
          <w:i w:val="0"/>
          <w:color w:val="1A2334"/>
          <w:sz w:val="22"/>
        </w:rPr>
        <w:t>A good handover is lean. It contains only the context a task needs and makes its assumptions visible. That protects information, but it also improves the answer because a system does not have to work through an unstructured pile of data.</w:t>
      </w:r>
    </w:p>
    <w:p>
      <w:pPr>
        <w:spacing w:before="360" w:after="140"/>
      </w:pPr>
      <w:r>
        <w:rPr>
          <w:rFonts w:ascii="Fraunces" w:hAnsi="Fraunces" w:eastAsia="Fraunces"/>
          <w:b/>
          <w:i w:val="0"/>
          <w:color w:val="1A2334"/>
          <w:sz w:val="36"/>
        </w:rPr>
        <w:t>An architecture stays alive only when it is reviewed</w:t>
      </w:r>
    </w:p>
    <w:p>
      <w:pPr>
        <w:spacing w:before="0" w:after="160" w:line="322" w:lineRule="auto"/>
      </w:pPr>
      <w:r>
        <w:rPr>
          <w:rFonts w:ascii="Source Serif 4" w:hAnsi="Source Serif 4" w:eastAsia="Source Serif 4"/>
          <w:b w:val="0"/>
          <w:i w:val="0"/>
          <w:color w:val="1A2334"/>
          <w:sz w:val="22"/>
        </w:rPr>
        <w:t>The first classification is not a final verdict. Tasks, tools and requirements change. Review a few real cases regularly: Was the chosen zone appropriate? Did more context move across than was needed? Was a review planned, and did it actually happen?</w:t>
      </w:r>
    </w:p>
    <w:p>
      <w:pPr>
        <w:spacing w:before="0" w:after="160" w:line="322" w:lineRule="auto"/>
      </w:pPr>
      <w:r>
        <w:rPr>
          <w:rFonts w:ascii="Source Serif 4" w:hAnsi="Source Serif 4" w:eastAsia="Source Serif 4"/>
          <w:b w:val="0"/>
          <w:i w:val="0"/>
          <w:color w:val="1A2334"/>
          <w:sz w:val="22"/>
        </w:rPr>
        <w:t>Over time, this builds a decision architecture of your own. It is not a rulebook that slows innovation. It is a shared frame that lets small teams test new possibilities without having to rethink responsibility from scratch every time.</w:t>
      </w:r>
    </w:p>
    <w:p>
      <w:pPr>
        <w:spacing w:before="360" w:after="140"/>
      </w:pPr>
      <w:r>
        <w:rPr>
          <w:rFonts w:ascii="Fraunces" w:hAnsi="Fraunces" w:eastAsia="Fraunces"/>
          <w:b/>
          <w:i w:val="0"/>
          <w:color w:val="1A2334"/>
          <w:sz w:val="36"/>
        </w:rPr>
        <w:t>The three-zone map</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CLASSIFY THE TASK</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**Goal**</w:t>
            </w:r>
          </w:p>
          <w:p>
            <w:pPr>
              <w:spacing w:after="40"/>
            </w:pPr>
            <w:r>
              <w:rPr>
                <w:rFonts w:ascii="IBM Plex Mono" w:hAnsi="IBM Plex Mono" w:eastAsia="IBM Plex Mono"/>
                <w:b w:val="0"/>
                <w:i w:val="0"/>
                <w:color w:val="27334A"/>
                <w:sz w:val="17"/>
              </w:rPr>
              <w:t>What must be usable at the end?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**Information required**</w:t>
            </w:r>
          </w:p>
          <w:p>
            <w:pPr>
              <w:spacing w:after="40"/>
            </w:pPr>
            <w:r>
              <w:rPr>
                <w:rFonts w:ascii="IBM Plex Mono" w:hAnsi="IBM Plex Mono" w:eastAsia="IBM Plex Mono"/>
                <w:b w:val="0"/>
                <w:i w:val="0"/>
                <w:color w:val="27334A"/>
                <w:sz w:val="17"/>
              </w:rPr>
              <w:t>Which data is truly necessary?</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**Open zone**</w:t>
            </w:r>
          </w:p>
          <w:p>
            <w:pPr>
              <w:spacing w:after="40"/>
            </w:pPr>
            <w:r>
              <w:rPr>
                <w:rFonts w:ascii="IBM Plex Mono" w:hAnsi="IBM Plex Mono" w:eastAsia="IBM Plex Mono"/>
                <w:b w:val="0"/>
                <w:i w:val="0"/>
                <w:color w:val="27334A"/>
                <w:sz w:val="17"/>
              </w:rPr>
              <w:t>Can the task be solved with public or non-critical material?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**Protected zone**</w:t>
            </w:r>
          </w:p>
          <w:p>
            <w:pPr>
              <w:spacing w:after="40"/>
            </w:pPr>
            <w:r>
              <w:rPr>
                <w:rFonts w:ascii="IBM Plex Mono" w:hAnsi="IBM Plex Mono" w:eastAsia="IBM Plex Mono"/>
                <w:b w:val="0"/>
                <w:i w:val="0"/>
                <w:color w:val="27334A"/>
                <w:sz w:val="17"/>
              </w:rPr>
              <w:t>Which internal information is needed—and who approves 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**Controlled zone**</w:t>
            </w:r>
          </w:p>
          <w:p>
            <w:pPr>
              <w:spacing w:after="40"/>
            </w:pPr>
            <w:r>
              <w:rPr>
                <w:rFonts w:ascii="IBM Plex Mono" w:hAnsi="IBM Plex Mono" w:eastAsia="IBM Plex Mono"/>
                <w:b w:val="0"/>
                <w:i w:val="0"/>
                <w:color w:val="27334A"/>
                <w:sz w:val="17"/>
              </w:rPr>
              <w:t>Which data or decisions need especially tight boundaries and review?</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**Handover**</w:t>
            </w:r>
          </w:p>
          <w:p>
            <w:pPr>
              <w:spacing w:after="40"/>
            </w:pPr>
            <w:r>
              <w:rPr>
                <w:rFonts w:ascii="IBM Plex Mono" w:hAnsi="IBM Plex Mono" w:eastAsia="IBM Plex Mono"/>
                <w:b w:val="0"/>
                <w:i w:val="0"/>
                <w:color w:val="27334A"/>
                <w:sz w:val="17"/>
              </w:rPr>
              <w:t>What is removed, replaced or summarised before transfer?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**Return**</w:t>
            </w:r>
          </w:p>
          <w:p>
            <w:pPr>
              <w:spacing w:after="40"/>
            </w:pPr>
            <w:r>
              <w:rPr>
                <w:rFonts w:ascii="IBM Plex Mono" w:hAnsi="IBM Plex Mono" w:eastAsia="IBM Plex Mono"/>
                <w:b w:val="0"/>
                <w:i w:val="0"/>
                <w:color w:val="27334A"/>
                <w:sz w:val="17"/>
              </w:rPr>
              <w:t>Who reviews the outcome before it is used?</w:t>
            </w:r>
          </w:p>
        </w:tc>
      </w:tr>
    </w:tbl>
    <w:p>
      <w:pPr>
        <w:spacing w:before="240" w:after="280" w:line="322" w:lineRule="auto"/>
      </w:pPr>
      <w:r>
        <w:rPr>
          <w:rFonts w:ascii="Source Serif 4" w:hAnsi="Source Serif 4" w:eastAsia="Source Serif 4"/>
          <w:b w:val="0"/>
          <w:i w:val="0"/>
          <w:color w:val="1A2334"/>
          <w:sz w:val="22"/>
        </w:rPr>
        <w:t>Local, cloud and hybrid are not identities. They are roles in an architecture that considers work, data and responsibility together. When tasks are classified first, technology can be used deliberately—without opening everything for convenience or blocking useful support out of caution.</w:t>
      </w:r>
    </w:p>
    <w:p>
      <w:r>
        <w:br w:type="page"/>
      </w:r>
    </w:p>
    <w:p>
      <w:pPr>
        <w:spacing w:after="140"/>
      </w:pPr>
      <w:r>
        <w:rPr>
          <w:rFonts w:ascii="Fraunces" w:hAnsi="Fraunces" w:eastAsia="Fraunces"/>
          <w:b/>
          <w:i w:val="0"/>
          <w:color w:val="1A2334"/>
          <w:sz w:val="50"/>
        </w:rPr>
        <w:t>Worksheet: Draw your three-zone map</w:t>
      </w:r>
    </w:p>
    <w:p>
      <w:pPr>
        <w:spacing w:before="0" w:after="280" w:line="322" w:lineRule="auto"/>
      </w:pPr>
      <w:r>
        <w:rPr>
          <w:rFonts w:ascii="Source Serif 4" w:hAnsi="Source Serif 4" w:eastAsia="Source Serif 4"/>
          <w:b w:val="0"/>
          <w:i w:val="0"/>
          <w:color w:val="1A2334"/>
          <w:sz w:val="22"/>
        </w:rPr>
        <w:t>Take three recurring tasks from your working life. Classify concrete tasks and the information they need, not people.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Choose three tasks</w:t>
            </w:r>
          </w:p>
          <w:p>
            <w:pPr>
              <w:spacing w:line="300" w:lineRule="auto"/>
            </w:pPr>
            <w:r>
              <w:rPr>
                <w:rFonts w:ascii="Source Serif 4" w:hAnsi="Source Serif 4" w:eastAsia="Source Serif 4"/>
                <w:b w:val="0"/>
                <w:i w:val="0"/>
                <w:color w:val="354159"/>
                <w:sz w:val="21"/>
              </w:rPr>
              <w:t>Write down one open, one internal and one especially consequential task. Describe the desired result of each in one sentence.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Reduce the data</w:t>
            </w:r>
          </w:p>
          <w:p>
            <w:pPr>
              <w:spacing w:line="300" w:lineRule="auto"/>
            </w:pPr>
            <w:r>
              <w:rPr>
                <w:rFonts w:ascii="Source Serif 4" w:hAnsi="Source Serif 4" w:eastAsia="Source Serif 4"/>
                <w:b w:val="0"/>
                <w:i w:val="0"/>
                <w:color w:val="354159"/>
                <w:sz w:val="21"/>
              </w:rPr>
              <w:t>For each task, underline only the information truly required for the outcome. Everything else stays outside for now.</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Set zone and handover</w:t>
            </w:r>
          </w:p>
          <w:p>
            <w:pPr>
              <w:spacing w:line="300" w:lineRule="auto"/>
            </w:pPr>
            <w:r>
              <w:rPr>
                <w:rFonts w:ascii="Source Serif 4" w:hAnsi="Source Serif 4" w:eastAsia="Source Serif 4"/>
                <w:b w:val="0"/>
                <w:i w:val="0"/>
                <w:color w:val="354159"/>
                <w:sz w:val="21"/>
              </w:rPr>
              <w:t>Assign each task to a zone. For every handover, add: What is removed, replaced or explicitly approved?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Define review</w:t>
            </w:r>
          </w:p>
          <w:p>
            <w:pPr>
              <w:spacing w:line="300" w:lineRule="auto"/>
            </w:pPr>
            <w:r>
              <w:rPr>
                <w:rFonts w:ascii="Source Serif 4" w:hAnsi="Source Serif 4" w:eastAsia="Source Serif 4"/>
                <w:b w:val="0"/>
                <w:i w:val="0"/>
                <w:color w:val="354159"/>
                <w:sz w:val="21"/>
              </w:rPr>
              <w:t>Decide who checks the outcome before use and which signal means the task should stop or be classified again.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One task I will classify differently from now on: 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most important step before a handover: 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