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420" w:line="240" w:lineRule="auto"/>
      </w:pPr>
      <w:r>
        <w:rPr>
          <w:rFonts w:ascii="IBM Plex Mono" w:hAnsi="IBM Plex Mono" w:eastAsia="IBM Plex Mono"/>
          <w:b/>
          <w:i w:val="0"/>
          <w:color w:val="4F7CFF"/>
          <w:sz w:val="18"/>
        </w:rPr>
        <w:t>FURKAN SAKIZLI</w:t>
      </w:r>
      <w:r>
        <w:rPr>
          <w:rFonts w:ascii="IBM Plex Mono" w:hAnsi="IBM Plex Mono" w:eastAsia="IBM Plex Mono"/>
          <w:b w:val="0"/>
          <w:i w:val="0"/>
          <w:color w:val="637087"/>
          <w:sz w:val="18"/>
        </w:rPr>
        <w:t xml:space="preserve">  ·  ESSAY · AI &amp; WORK</w:t>
      </w:r>
    </w:p>
    <w:p>
      <w:pPr>
        <w:spacing w:after="160" w:line="235" w:lineRule="auto"/>
      </w:pPr>
      <w:r>
        <w:rPr>
          <w:rFonts w:ascii="Fraunces" w:hAnsi="Fraunces" w:eastAsia="Fraunces"/>
          <w:b/>
          <w:i w:val="0"/>
          <w:color w:val="1A2334"/>
          <w:sz w:val="56"/>
        </w:rPr>
        <w:t>When AI starts prompting you</w:t>
      </w:r>
    </w:p>
    <w:p>
      <w:pPr>
        <w:spacing w:after="340" w:line="293" w:lineRule="auto"/>
      </w:pPr>
      <w:r>
        <w:rPr>
          <w:rFonts w:ascii="Source Serif 4" w:hAnsi="Source Serif 4" w:eastAsia="Source Serif 4"/>
          <w:b w:val="0"/>
          <w:i/>
          <w:color w:val="637087"/>
          <w:sz w:val="26"/>
        </w:rPr>
        <w:t>How to read an answer without quietly adopting its direction.</w:t>
      </w:r>
    </w:p>
    <w:p>
      <w:pPr>
        <w:spacing w:after="420"/>
      </w:pPr>
      <w:r>
        <w:rPr>
          <w:rFonts w:ascii="IBM Plex Mono" w:hAnsi="IBM Plex Mono" w:eastAsia="IBM Plex Mono"/>
          <w:b w:val="0"/>
          <w:i w:val="0"/>
          <w:color w:val="4F7CFF"/>
          <w:sz w:val="17"/>
        </w:rPr>
        <w:t>6 MIN. READ  ·  Furkan Sakızlı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878"/>
      </w:tblGrid>
      <w:tr>
        <w:tc>
          <w:tcPr>
            <w:tcW w:type="dxa" w:w="9878"/>
            <w:shd w:fill="EEF1F7"/>
            <w:tcMar>
              <w:top w:w="190" w:type="dxa"/>
              <w:start w:w="220" w:type="dxa"/>
              <w:bottom w:w="190" w:type="dxa"/>
              <w:end w:w="220" w:type="dxa"/>
            </w:tcMar>
            <w:vAlign w:val="center"/>
          </w:tcPr>
          <w:p>
            <w:pPr>
              <w:spacing w:line="307" w:lineRule="auto"/>
            </w:pPr>
            <w:r>
              <w:rPr>
                <w:rFonts w:ascii="Source Serif 4" w:hAnsi="Source Serif 4" w:eastAsia="Source Serif 4"/>
                <w:b w:val="0"/>
                <w:i/>
                <w:color w:val="1A2334"/>
                <w:sz w:val="25"/>
              </w:rPr>
              <w:t>A good answer often feels pleasant. It is fluent, confirms a thought and quickly offers a next step. That is precisely why a small pause matters. A text can be useful while still foregrounding one path, hiding an assumption or closing a decision too early.</w:t>
            </w:r>
          </w:p>
        </w:tc>
      </w:tr>
    </w:tbl>
    <w:p>
      <w:pPr>
        <w:spacing w:before="360" w:after="140"/>
      </w:pPr>
      <w:r>
        <w:rPr>
          <w:rFonts w:ascii="Fraunces" w:hAnsi="Fraunces" w:eastAsia="Fraunces"/>
          <w:b/>
          <w:i w:val="0"/>
          <w:color w:val="1A2334"/>
          <w:sz w:val="36"/>
        </w:rPr>
        <w:t>An answer is never only information</w:t>
      </w:r>
    </w:p>
    <w:p>
      <w:pPr>
        <w:spacing w:before="0" w:after="160" w:line="322" w:lineRule="auto"/>
      </w:pPr>
      <w:r>
        <w:rPr>
          <w:rFonts w:ascii="Source Serif 4" w:hAnsi="Source Serif 4" w:eastAsia="Source Serif 4"/>
          <w:b w:val="0"/>
          <w:i w:val="0"/>
          <w:color w:val="1A2334"/>
          <w:sz w:val="22"/>
        </w:rPr>
        <w:t>Every answer sets priorities. It chooses examples, names risks or leaves them out, sounds decisive or cautious. That does not prove an intention. It does give you a reason to examine your own reaction.</w:t>
      </w:r>
    </w:p>
    <w:p>
      <w:pPr>
        <w:spacing w:before="0" w:after="160" w:line="322" w:lineRule="auto"/>
      </w:pPr>
      <w:r>
        <w:rPr>
          <w:rFonts w:ascii="Source Serif 4" w:hAnsi="Source Serif 4" w:eastAsia="Source Serif 4"/>
          <w:b w:val="0"/>
          <w:i w:val="0"/>
          <w:color w:val="1A2334"/>
          <w:sz w:val="22"/>
        </w:rPr>
        <w:t>The useful question is not “Did AI influence me?” It is “Which direction does this answer suggest—and do I actually want to take it?”</w:t>
      </w:r>
    </w:p>
    <w:p>
      <w:pPr>
        <w:spacing w:before="360" w:after="140"/>
      </w:pPr>
      <w:r>
        <w:rPr>
          <w:rFonts w:ascii="Fraunces" w:hAnsi="Fraunces" w:eastAsia="Fraunces"/>
          <w:b/>
          <w:i w:val="0"/>
          <w:color w:val="1A2334"/>
          <w:sz w:val="36"/>
        </w:rPr>
        <w:t>Three signals worth a pause</w:t>
      </w:r>
    </w:p>
    <w:p>
      <w:pPr>
        <w:spacing w:before="0" w:after="160" w:line="322" w:lineRule="auto"/>
      </w:pPr>
      <w:r>
        <w:rPr>
          <w:rFonts w:ascii="Source Serif 4" w:hAnsi="Source Serif 4" w:eastAsia="Source Serif 4"/>
          <w:b w:val="0"/>
          <w:i w:val="0"/>
          <w:color w:val="1A2334"/>
          <w:sz w:val="22"/>
        </w:rPr>
        <w:t>First: too much certainty. When a complex issue seems solved without conditions or alternatives, something is often missing. Second: too much mirroring. When an answer adopts your language and assumption, test whether it can also disagree. Third: a conclusion that arrives too quickly. When an open question becomes a finished plan, ask which options were skipped.</w:t>
      </w:r>
    </w:p>
    <w:p>
      <w:pPr>
        <w:spacing w:before="0" w:after="160" w:line="322" w:lineRule="auto"/>
      </w:pPr>
      <w:r>
        <w:rPr>
          <w:rFonts w:ascii="Source Serif 4" w:hAnsi="Source Serif 4" w:eastAsia="Source Serif 4"/>
          <w:b w:val="0"/>
          <w:i w:val="0"/>
          <w:color w:val="1A2334"/>
          <w:sz w:val="22"/>
        </w:rPr>
        <w:t>These signals do not mean an answer is wrong. They invite you to read it differently.</w:t>
      </w:r>
    </w:p>
    <w:p>
      <w:pPr>
        <w:spacing w:before="360" w:after="140"/>
      </w:pPr>
      <w:r>
        <w:rPr>
          <w:rFonts w:ascii="Fraunces" w:hAnsi="Fraunces" w:eastAsia="Fraunces"/>
          <w:b/>
          <w:i w:val="0"/>
          <w:color w:val="1A2334"/>
          <w:sz w:val="36"/>
        </w:rPr>
        <w:t>Counter-questions return control</w:t>
      </w:r>
    </w:p>
    <w:p>
      <w:pPr>
        <w:spacing w:before="0" w:after="160" w:line="322" w:lineRule="auto"/>
      </w:pPr>
      <w:r>
        <w:rPr>
          <w:rFonts w:ascii="Source Serif 4" w:hAnsi="Source Serif 4" w:eastAsia="Source Serif 4"/>
          <w:b w:val="0"/>
          <w:i w:val="0"/>
          <w:color w:val="1A2334"/>
          <w:sz w:val="22"/>
        </w:rPr>
        <w:t>A counter-question is not distrust of a tool. It is quality work. Ask for counterarguments, name assumptions, request a second interpretation or test the answer from the perspective of someone affected.</w:t>
      </w:r>
    </w:p>
    <w:p>
      <w:pPr>
        <w:spacing w:before="0" w:after="160" w:line="322" w:lineRule="auto"/>
      </w:pPr>
      <w:r>
        <w:rPr>
          <w:rFonts w:ascii="Source Serif 4" w:hAnsi="Source Serif 4" w:eastAsia="Source Serif 4"/>
          <w:b w:val="0"/>
          <w:i w:val="0"/>
          <w:color w:val="1A2334"/>
          <w:sz w:val="22"/>
        </w:rPr>
        <w:t>A polished answer becomes a conversation that prepares decisions instead of quietly making them for you.</w:t>
      </w:r>
    </w:p>
    <w:p>
      <w:pPr>
        <w:spacing w:before="360" w:after="140"/>
      </w:pPr>
      <w:r>
        <w:rPr>
          <w:rFonts w:ascii="Fraunces" w:hAnsi="Fraunces" w:eastAsia="Fraunces"/>
          <w:b/>
          <w:i w:val="0"/>
          <w:color w:val="1A2334"/>
          <w:sz w:val="36"/>
        </w:rPr>
        <w:t>Four everyday counter-questions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878"/>
      </w:tblGrid>
      <w:tr>
        <w:tc>
          <w:tcPr>
            <w:tcW w:type="dxa" w:w="9878"/>
            <w:shd w:fill="F6F8FC"/>
            <w:tcMar>
              <w:top w:w="180" w:type="dxa"/>
              <w:start w:w="210" w:type="dxa"/>
              <w:bottom w:w="180" w:type="dxa"/>
              <w:end w:w="210" w:type="dxa"/>
            </w:tcMar>
          </w:tcPr>
          <w:p>
            <w:pPr>
              <w:spacing w:after="40"/>
            </w:pPr>
            <w:r>
              <w:rPr>
                <w:rFonts w:ascii="IBM Plex Mono" w:hAnsi="IBM Plex Mono" w:eastAsia="IBM Plex Mono"/>
                <w:b/>
                <w:i w:val="0"/>
                <w:color w:val="27334A"/>
                <w:sz w:val="17"/>
              </w:rPr>
              <w:t># COUNTER-QUESTIONS</w:t>
            </w:r>
          </w:p>
          <w:p>
            <w:pPr>
              <w:spacing w:after="40"/>
            </w:pPr>
            <w:r>
              <w:rPr>
                <w:rFonts w:ascii="IBM Plex Mono" w:hAnsi="IBM Plex Mono" w:eastAsia="IBM Plex Mono"/>
                <w:b w:val="0"/>
                <w:i w:val="0"/>
                <w:color w:val="27334A"/>
                <w:sz w:val="17"/>
              </w:rPr>
            </w:r>
          </w:p>
          <w:p>
            <w:pPr>
              <w:spacing w:after="40"/>
            </w:pPr>
            <w:r>
              <w:rPr>
                <w:rFonts w:ascii="IBM Plex Mono" w:hAnsi="IBM Plex Mono" w:eastAsia="IBM Plex Mono"/>
                <w:b w:val="0"/>
                <w:i w:val="0"/>
                <w:color w:val="27334A"/>
                <w:sz w:val="17"/>
              </w:rPr>
              <w:t>1. Which assumption are you carrying without saying so?</w:t>
            </w:r>
          </w:p>
          <w:p>
            <w:pPr>
              <w:spacing w:after="40"/>
            </w:pPr>
            <w:r>
              <w:rPr>
                <w:rFonts w:ascii="IBM Plex Mono" w:hAnsi="IBM Plex Mono" w:eastAsia="IBM Plex Mono"/>
                <w:b w:val="0"/>
                <w:i w:val="0"/>
                <w:color w:val="27334A"/>
                <w:sz w:val="17"/>
              </w:rPr>
              <w:t>2. Which plausible alternative would you defend just as strongly?</w:t>
            </w:r>
          </w:p>
          <w:p>
            <w:pPr>
              <w:spacing w:after="40"/>
            </w:pPr>
            <w:r>
              <w:rPr>
                <w:rFonts w:ascii="IBM Plex Mono" w:hAnsi="IBM Plex Mono" w:eastAsia="IBM Plex Mono"/>
                <w:b w:val="0"/>
                <w:i w:val="0"/>
                <w:color w:val="27334A"/>
                <w:sz w:val="17"/>
              </w:rPr>
              <w:t>3. What would have to be true for your advice not to fit?</w:t>
            </w:r>
          </w:p>
          <w:p>
            <w:pPr>
              <w:spacing w:after="40"/>
            </w:pPr>
            <w:r>
              <w:rPr>
                <w:rFonts w:ascii="IBM Plex Mono" w:hAnsi="IBM Plex Mono" w:eastAsia="IBM Plex Mono"/>
                <w:b w:val="0"/>
                <w:i w:val="0"/>
                <w:color w:val="27334A"/>
                <w:sz w:val="17"/>
              </w:rPr>
              <w:t>4. Which information is missing for a responsible recommendation?</w:t>
            </w:r>
          </w:p>
        </w:tc>
      </w:tr>
    </w:tbl>
    <w:p>
      <w:pPr>
        <w:spacing w:before="240" w:after="280" w:line="322" w:lineRule="auto"/>
      </w:pPr>
      <w:r>
        <w:rPr>
          <w:rFonts w:ascii="Source Serif 4" w:hAnsi="Source Serif 4" w:eastAsia="Source Serif 4"/>
          <w:b w:val="0"/>
          <w:i w:val="0"/>
          <w:color w:val="1A2334"/>
          <w:sz w:val="22"/>
        </w:rPr>
        <w:t>Reading critically does not mean rejecting every suggestion. It means keeping your judgement in the conversation. A useful AI answer may help you see more clearly. It should not decide what you are meant to see.</w:t>
      </w:r>
    </w:p>
    <w:p>
      <w:r>
        <w:br w:type="page"/>
      </w:r>
    </w:p>
    <w:p>
      <w:pPr>
        <w:spacing w:after="140"/>
      </w:pPr>
      <w:r>
        <w:rPr>
          <w:rFonts w:ascii="Fraunces" w:hAnsi="Fraunces" w:eastAsia="Fraunces"/>
          <w:b/>
          <w:i w:val="0"/>
          <w:color w:val="1A2334"/>
          <w:sz w:val="50"/>
        </w:rPr>
        <w:t>Worksheet: Read an answer against the grain</w:t>
      </w:r>
    </w:p>
    <w:p>
      <w:pPr>
        <w:spacing w:before="0" w:after="280" w:line="322" w:lineRule="auto"/>
      </w:pPr>
      <w:r>
        <w:rPr>
          <w:rFonts w:ascii="Source Serif 4" w:hAnsi="Source Serif 4" w:eastAsia="Source Serif 4"/>
          <w:b w:val="0"/>
          <w:i w:val="0"/>
          <w:color w:val="1A2334"/>
          <w:sz w:val="22"/>
        </w:rPr>
        <w:t>Choose an AI response that is convincing at first glance. Work through it with the four counter-questions.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1584"/>
        <w:gridCol w:w="8208"/>
      </w:tblGrid>
      <w:tr>
        <w:tc>
          <w:tcPr>
            <w:tcW w:type="dxa" w:w="4939"/>
            <w:shd w:fill="4F7CFF"/>
            <w:tcMar>
              <w:top w:w="120" w:type="dxa"/>
              <w:start w:w="130" w:type="dxa"/>
              <w:bottom w:w="120" w:type="dxa"/>
              <w:end w:w="130" w:type="dxa"/>
            </w:tcMar>
          </w:tcPr>
          <w:p>
            <w:pPr>
              <w:jc w:val="center"/>
            </w:pPr>
            <w:r>
              <w:rPr>
                <w:rFonts w:ascii="IBM Plex Mono" w:hAnsi="IBM Plex Mono" w:eastAsia="IBM Plex Mono"/>
                <w:b/>
                <w:i w:val="0"/>
                <w:color w:val="FFFFFF"/>
                <w:sz w:val="24"/>
              </w:rPr>
              <w:t>1</w:t>
            </w:r>
          </w:p>
        </w:tc>
        <w:tc>
          <w:tcPr>
            <w:tcW w:type="dxa" w:w="4939"/>
            <w:shd w:fill="EEF1F7"/>
            <w:tcMar>
              <w:top w:w="120" w:type="dxa"/>
              <w:start w:w="155" w:type="dxa"/>
              <w:bottom w:w="120" w:type="dxa"/>
              <w:end w:w="155" w:type="dxa"/>
            </w:tcMar>
          </w:tcPr>
          <w:p>
            <w:pPr>
              <w:spacing w:after="60"/>
            </w:pPr>
            <w:r>
              <w:rPr>
                <w:rFonts w:ascii="Source Serif 4" w:hAnsi="Source Serif 4" w:eastAsia="Source Serif 4"/>
                <w:b/>
                <w:i w:val="0"/>
                <w:color w:val="1A2334"/>
                <w:sz w:val="24"/>
              </w:rPr>
              <w:t>1. Mark the direction</w:t>
            </w:r>
          </w:p>
          <w:p>
            <w:pPr>
              <w:spacing w:line="300" w:lineRule="auto"/>
            </w:pPr>
            <w:r>
              <w:rPr>
                <w:rFonts w:ascii="Source Serif 4" w:hAnsi="Source Serif 4" w:eastAsia="Source Serif 4"/>
                <w:b w:val="0"/>
                <w:i w:val="0"/>
                <w:color w:val="354159"/>
                <w:sz w:val="21"/>
              </w:rPr>
              <w:t>Write one sentence on where the response is implicitly moving you.</w:t>
            </w:r>
          </w:p>
        </w:tc>
      </w:tr>
    </w:tbl>
    <w:p>
      <w:pPr>
        <w:spacing w:after="40"/>
      </w:pP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1584"/>
        <w:gridCol w:w="8208"/>
      </w:tblGrid>
      <w:tr>
        <w:tc>
          <w:tcPr>
            <w:tcW w:type="dxa" w:w="4939"/>
            <w:shd w:fill="4F7CFF"/>
            <w:tcMar>
              <w:top w:w="120" w:type="dxa"/>
              <w:start w:w="130" w:type="dxa"/>
              <w:bottom w:w="120" w:type="dxa"/>
              <w:end w:w="130" w:type="dxa"/>
            </w:tcMar>
          </w:tcPr>
          <w:p>
            <w:pPr>
              <w:jc w:val="center"/>
            </w:pPr>
            <w:r>
              <w:rPr>
                <w:rFonts w:ascii="IBM Plex Mono" w:hAnsi="IBM Plex Mono" w:eastAsia="IBM Plex Mono"/>
                <w:b/>
                <w:i w:val="0"/>
                <w:color w:val="FFFFFF"/>
                <w:sz w:val="24"/>
              </w:rPr>
              <w:t>2</w:t>
            </w:r>
          </w:p>
        </w:tc>
        <w:tc>
          <w:tcPr>
            <w:tcW w:type="dxa" w:w="4939"/>
            <w:shd w:fill="EEF1F7"/>
            <w:tcMar>
              <w:top w:w="120" w:type="dxa"/>
              <w:start w:w="155" w:type="dxa"/>
              <w:bottom w:w="120" w:type="dxa"/>
              <w:end w:w="155" w:type="dxa"/>
            </w:tcMar>
          </w:tcPr>
          <w:p>
            <w:pPr>
              <w:spacing w:after="60"/>
            </w:pPr>
            <w:r>
              <w:rPr>
                <w:rFonts w:ascii="Source Serif 4" w:hAnsi="Source Serif 4" w:eastAsia="Source Serif 4"/>
                <w:b/>
                <w:i w:val="0"/>
                <w:color w:val="1A2334"/>
                <w:sz w:val="24"/>
              </w:rPr>
              <w:t>2. Expose assumptions</w:t>
            </w:r>
          </w:p>
          <w:p>
            <w:pPr>
              <w:spacing w:line="300" w:lineRule="auto"/>
            </w:pPr>
            <w:r>
              <w:rPr>
                <w:rFonts w:ascii="Source Serif 4" w:hAnsi="Source Serif 4" w:eastAsia="Source Serif 4"/>
                <w:b w:val="0"/>
                <w:i w:val="0"/>
                <w:color w:val="354159"/>
                <w:sz w:val="21"/>
              </w:rPr>
              <w:t>Mark each statement that sounds factual but needs a reason.</w:t>
            </w:r>
          </w:p>
        </w:tc>
      </w:tr>
    </w:tbl>
    <w:p>
      <w:pPr>
        <w:spacing w:after="40"/>
      </w:pP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1584"/>
        <w:gridCol w:w="8208"/>
      </w:tblGrid>
      <w:tr>
        <w:tc>
          <w:tcPr>
            <w:tcW w:type="dxa" w:w="4939"/>
            <w:shd w:fill="4F7CFF"/>
            <w:tcMar>
              <w:top w:w="120" w:type="dxa"/>
              <w:start w:w="130" w:type="dxa"/>
              <w:bottom w:w="120" w:type="dxa"/>
              <w:end w:w="130" w:type="dxa"/>
            </w:tcMar>
          </w:tcPr>
          <w:p>
            <w:pPr>
              <w:jc w:val="center"/>
            </w:pPr>
            <w:r>
              <w:rPr>
                <w:rFonts w:ascii="IBM Plex Mono" w:hAnsi="IBM Plex Mono" w:eastAsia="IBM Plex Mono"/>
                <w:b/>
                <w:i w:val="0"/>
                <w:color w:val="FFFFFF"/>
                <w:sz w:val="24"/>
              </w:rPr>
              <w:t>3</w:t>
            </w:r>
          </w:p>
        </w:tc>
        <w:tc>
          <w:tcPr>
            <w:tcW w:type="dxa" w:w="4939"/>
            <w:shd w:fill="EEF1F7"/>
            <w:tcMar>
              <w:top w:w="120" w:type="dxa"/>
              <w:start w:w="155" w:type="dxa"/>
              <w:bottom w:w="120" w:type="dxa"/>
              <w:end w:w="155" w:type="dxa"/>
            </w:tcMar>
          </w:tcPr>
          <w:p>
            <w:pPr>
              <w:spacing w:after="60"/>
            </w:pPr>
            <w:r>
              <w:rPr>
                <w:rFonts w:ascii="Source Serif 4" w:hAnsi="Source Serif 4" w:eastAsia="Source Serif 4"/>
                <w:b/>
                <w:i w:val="0"/>
                <w:color w:val="1A2334"/>
                <w:sz w:val="24"/>
              </w:rPr>
              <w:t>3. Request an alternative</w:t>
            </w:r>
          </w:p>
          <w:p>
            <w:pPr>
              <w:spacing w:line="300" w:lineRule="auto"/>
            </w:pPr>
            <w:r>
              <w:rPr>
                <w:rFonts w:ascii="Source Serif 4" w:hAnsi="Source Serif 4" w:eastAsia="Source Serif 4"/>
                <w:b w:val="0"/>
                <w:i w:val="0"/>
                <w:color w:val="354159"/>
                <w:sz w:val="21"/>
              </w:rPr>
              <w:t>Ask for a second, plausible view of the same question.</w:t>
            </w:r>
          </w:p>
        </w:tc>
      </w:tr>
    </w:tbl>
    <w:p>
      <w:pPr>
        <w:spacing w:after="40"/>
      </w:pP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1584"/>
        <w:gridCol w:w="8208"/>
      </w:tblGrid>
      <w:tr>
        <w:tc>
          <w:tcPr>
            <w:tcW w:type="dxa" w:w="4939"/>
            <w:shd w:fill="4F7CFF"/>
            <w:tcMar>
              <w:top w:w="120" w:type="dxa"/>
              <w:start w:w="130" w:type="dxa"/>
              <w:bottom w:w="120" w:type="dxa"/>
              <w:end w:w="130" w:type="dxa"/>
            </w:tcMar>
          </w:tcPr>
          <w:p>
            <w:pPr>
              <w:jc w:val="center"/>
            </w:pPr>
            <w:r>
              <w:rPr>
                <w:rFonts w:ascii="IBM Plex Mono" w:hAnsi="IBM Plex Mono" w:eastAsia="IBM Plex Mono"/>
                <w:b/>
                <w:i w:val="0"/>
                <w:color w:val="FFFFFF"/>
                <w:sz w:val="24"/>
              </w:rPr>
              <w:t>4</w:t>
            </w:r>
          </w:p>
        </w:tc>
        <w:tc>
          <w:tcPr>
            <w:tcW w:type="dxa" w:w="4939"/>
            <w:shd w:fill="EEF1F7"/>
            <w:tcMar>
              <w:top w:w="120" w:type="dxa"/>
              <w:start w:w="155" w:type="dxa"/>
              <w:bottom w:w="120" w:type="dxa"/>
              <w:end w:w="155" w:type="dxa"/>
            </w:tcMar>
          </w:tcPr>
          <w:p>
            <w:pPr>
              <w:spacing w:after="60"/>
            </w:pPr>
            <w:r>
              <w:rPr>
                <w:rFonts w:ascii="Source Serif 4" w:hAnsi="Source Serif 4" w:eastAsia="Source Serif 4"/>
                <w:b/>
                <w:i w:val="0"/>
                <w:color w:val="1A2334"/>
                <w:sz w:val="24"/>
              </w:rPr>
              <w:t>4. Take back the decision</w:t>
            </w:r>
          </w:p>
          <w:p>
            <w:pPr>
              <w:spacing w:line="300" w:lineRule="auto"/>
            </w:pPr>
            <w:r>
              <w:rPr>
                <w:rFonts w:ascii="Source Serif 4" w:hAnsi="Source Serif 4" w:eastAsia="Source Serif 4"/>
                <w:b w:val="0"/>
                <w:i w:val="0"/>
                <w:color w:val="354159"/>
                <w:sz w:val="21"/>
              </w:rPr>
              <w:t>Note what you still need to check yourself.</w:t>
            </w:r>
          </w:p>
        </w:tc>
      </w:tr>
    </w:tbl>
    <w:p>
      <w:pPr>
        <w:spacing w:after="40"/>
      </w:pPr>
    </w:p>
    <w:p>
      <w:pPr>
        <w:spacing w:before="200" w:after="140"/>
      </w:pPr>
      <w:r>
        <w:rPr>
          <w:rFonts w:ascii="Fraunces" w:hAnsi="Fraunces" w:eastAsia="Fraunces"/>
          <w:b/>
          <w:i w:val="0"/>
          <w:color w:val="1A2334"/>
          <w:sz w:val="28"/>
        </w:rPr>
        <w:t>Reflexion / Reflection / Yansıtma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9878"/>
      </w:tblGrid>
      <w:tr>
        <w:tc>
          <w:tcPr>
            <w:tcW w:type="dxa" w:w="9878"/>
            <w:shd w:fill="F6F8FC"/>
            <w:tcMar>
              <w:top w:w="170" w:type="dxa"/>
              <w:start w:w="190" w:type="dxa"/>
              <w:bottom w:w="170" w:type="dxa"/>
              <w:end w:w="190" w:type="dxa"/>
            </w:tcMar>
          </w:tcPr>
          <w:p>
            <w:pPr>
              <w:spacing w:after="160"/>
            </w:pPr>
            <w:r>
              <w:rPr>
                <w:rFonts w:ascii="Source Serif 4" w:hAnsi="Source Serif 4" w:eastAsia="Source Serif 4"/>
                <w:b w:val="0"/>
                <w:i w:val="0"/>
                <w:color w:val="354159"/>
                <w:sz w:val="22"/>
              </w:rPr>
              <w:t>The assumption I want to test earlier in future: ______________________________________________________________</w:t>
            </w:r>
          </w:p>
          <w:p>
            <w:pPr>
              <w:spacing w:after="160"/>
            </w:pPr>
            <w:r>
              <w:rPr>
                <w:rFonts w:ascii="Source Serif 4" w:hAnsi="Source Serif 4" w:eastAsia="Source Serif 4"/>
                <w:b w:val="0"/>
                <w:i w:val="0"/>
                <w:color w:val="354159"/>
                <w:sz w:val="22"/>
              </w:rPr>
            </w:r>
          </w:p>
          <w:p>
            <w:pPr>
              <w:spacing w:after="160"/>
            </w:pPr>
            <w:r>
              <w:rPr>
                <w:rFonts w:ascii="Source Serif 4" w:hAnsi="Source Serif 4" w:eastAsia="Source Serif 4"/>
                <w:b w:val="0"/>
                <w:i w:val="0"/>
                <w:color w:val="354159"/>
                <w:sz w:val="22"/>
              </w:rPr>
              <w:t>The alternative I had not seen before: ____________________________________________________________________</w:t>
            </w:r>
          </w:p>
        </w:tc>
      </w:tr>
    </w:tbl>
    <w:sectPr w:rsidR="00FC693F" w:rsidRPr="0006063C" w:rsidSect="00034616">
      <w:footerReference w:type="default" r:id="rId9"/>
      <w:pgSz w:w="12240" w:h="15840"/>
      <w:pgMar w:top="1037" w:right="1181" w:bottom="1008" w:left="118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IBM Plex Mono" w:hAnsi="IBM Plex Mono" w:eastAsia="IBM Plex Mono"/>
        <w:b w:val="0"/>
        <w:i w:val="0"/>
        <w:color w:val="637087"/>
        <w:sz w:val="16"/>
      </w:rPr>
      <w:t>FURKAN SAKIZLI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Source Serif 4" w:hAnsi="Source Serif 4" w:eastAsia="Source Serif 4"/>
      <w:color w:val="1A2334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