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CONTEXT &amp; PROJECTS</w:t>
      </w:r>
    </w:p>
    <w:p>
      <w:pPr>
        <w:spacing w:after="160" w:line="235" w:lineRule="auto"/>
      </w:pPr>
      <w:r>
        <w:rPr>
          <w:rFonts w:ascii="Fraunces" w:hAnsi="Fraunces" w:eastAsia="Fraunces"/>
          <w:b/>
          <w:i w:val="0"/>
          <w:color w:val="1A2334"/>
          <w:sz w:val="56"/>
        </w:rPr>
        <w:t>When context wears out: Keeping long AI projects clear and controllable</w:t>
      </w:r>
    </w:p>
    <w:p>
      <w:pPr>
        <w:spacing w:after="340" w:line="293" w:lineRule="auto"/>
      </w:pPr>
      <w:r>
        <w:rPr>
          <w:rFonts w:ascii="Source Serif 4" w:hAnsi="Source Serif 4" w:eastAsia="Source Serif 4"/>
          <w:b w:val="0"/>
          <w:i/>
          <w:color w:val="637087"/>
          <w:sz w:val="26"/>
        </w:rPr>
        <w:t>Long projects drift not because context is missing, but because no one actively maintains its relevance, provenance and validity.</w:t>
      </w:r>
    </w:p>
    <w:p>
      <w:pPr>
        <w:spacing w:after="420"/>
      </w:pPr>
      <w:r>
        <w:rPr>
          <w:rFonts w:ascii="IBM Plex Mono" w:hAnsi="IBM Plex Mono" w:eastAsia="IBM Plex Mono"/>
          <w:b w:val="0"/>
          <w:i w:val="0"/>
          <w:color w:val="4F7CFF"/>
          <w:sz w:val="17"/>
        </w:rPr>
        <w:t>15 MIN. READ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Long AI projects rarely fail in one dramatic moment. They become unclear slowly. An early assumption remains in the conversation after it has been rejected. A summary replaces the source from which it was derived. New requirements are added without retiring old boundaries. Eventually the system knows many sentences about the project, but no longer knows its current state reliably. Context has not disappeared. It has worn out.</w:t>
            </w:r>
          </w:p>
        </w:tc>
      </w:tr>
    </w:tbl>
    <w:p>
      <w:pPr>
        <w:keepNext/>
        <w:spacing w:before="360" w:after="140"/>
      </w:pPr>
      <w:r>
        <w:rPr>
          <w:rFonts w:ascii="Fraunces" w:hAnsi="Fraunces" w:eastAsia="Fraunces"/>
          <w:b/>
          <w:i w:val="0"/>
          <w:color w:val="1A2334"/>
          <w:sz w:val="36"/>
        </w:rPr>
        <w:t>Context is not volume; it is selection</w:t>
      </w:r>
    </w:p>
    <w:p>
      <w:pPr>
        <w:spacing w:before="0" w:after="160" w:line="322" w:lineRule="auto"/>
      </w:pPr>
      <w:r>
        <w:rPr>
          <w:rFonts w:ascii="Source Serif 4" w:hAnsi="Source Serif 4" w:eastAsia="Source Serif 4"/>
          <w:b w:val="0"/>
          <w:i w:val="0"/>
          <w:color w:val="1A2334"/>
          <w:sz w:val="22"/>
        </w:rPr>
        <w:t>In AI work, abundant context is often treated as a synonym for good preparation. That is only half true. More material initially increases the chance that important information is present. It also increases the number of competing instructions, outdated decisions and seemingly relevant details. A system cannot infer what is binding today when everything carries the same weight in its working space.</w:t>
      </w:r>
    </w:p>
    <w:p>
      <w:pPr>
        <w:spacing w:before="0" w:after="160" w:line="322" w:lineRule="auto"/>
      </w:pPr>
      <w:r>
        <w:rPr>
          <w:rFonts w:ascii="Source Serif 4" w:hAnsi="Source Serif 4" w:eastAsia="Source Serif 4"/>
          <w:b w:val="0"/>
          <w:i w:val="0"/>
          <w:color w:val="1A2334"/>
          <w:sz w:val="22"/>
        </w:rPr>
        <w:t>Good context therefore answers a question of selection rather than quantity: Which information changes the next decision? A complete chronology may be valuable for documentation and still be unsuitable for the task at hand. Working context must be smaller than the archive that feeds it.</w:t>
      </w:r>
    </w:p>
    <w:p>
      <w:pPr>
        <w:spacing w:before="0" w:after="160" w:line="322" w:lineRule="auto"/>
      </w:pPr>
      <w:r>
        <w:rPr>
          <w:rFonts w:ascii="Source Serif 4" w:hAnsi="Source Serif 4" w:eastAsia="Source Serif 4"/>
          <w:b w:val="0"/>
          <w:i w:val="0"/>
          <w:color w:val="1A2334"/>
          <w:sz w:val="22"/>
        </w:rPr>
        <w:t>This distinction creates two spaces. The archive preserves history, sources and earlier variants. Active context contains only the objective, current decisions, authoritative materials, unresolved tensions and the next verifiable step. When the spaces are mixed, every new conversation must separate past from present again.</w:t>
      </w:r>
    </w:p>
    <w:p>
      <w:pPr>
        <w:keepNext/>
        <w:spacing w:before="360" w:after="140"/>
      </w:pPr>
      <w:r>
        <w:rPr>
          <w:rFonts w:ascii="Fraunces" w:hAnsi="Fraunces" w:eastAsia="Fraunces"/>
          <w:b/>
          <w:i w:val="0"/>
          <w:color w:val="1A2334"/>
          <w:sz w:val="36"/>
        </w:rPr>
        <w:t>Three properties determine context quality</w:t>
      </w:r>
    </w:p>
    <w:p>
      <w:pPr>
        <w:spacing w:before="0" w:after="160" w:line="322" w:lineRule="auto"/>
      </w:pPr>
      <w:r>
        <w:rPr>
          <w:rFonts w:ascii="Source Serif 4" w:hAnsi="Source Serif 4" w:eastAsia="Source Serif 4"/>
          <w:b w:val="0"/>
          <w:i w:val="0"/>
          <w:color w:val="1A2334"/>
          <w:sz w:val="22"/>
        </w:rPr>
        <w:t>The first is relevance. Information belongs in active context when it changes the desired outcome, a boundary, an acceptance criterion or the next action. Interesting background is not enough. Relevance is task-specific and may change from one phase to another.</w:t>
      </w:r>
    </w:p>
    <w:p>
      <w:pPr>
        <w:spacing w:before="0" w:after="160" w:line="322" w:lineRule="auto"/>
      </w:pPr>
      <w:r>
        <w:rPr>
          <w:rFonts w:ascii="Source Serif 4" w:hAnsi="Source Serif 4" w:eastAsia="Source Serif 4"/>
          <w:b w:val="0"/>
          <w:i w:val="0"/>
          <w:color w:val="1A2334"/>
          <w:sz w:val="22"/>
        </w:rPr>
        <w:t>The second is provenance. It must remain visible whether a statement comes from an authoritative file, a human decision, a model summary or an untested assumption. Without provenance, claims become uniform. An elegant summary can quietly receive more authority than the material it compressed.</w:t>
      </w:r>
    </w:p>
    <w:p>
      <w:pPr>
        <w:spacing w:before="0" w:after="160" w:line="322" w:lineRule="auto"/>
      </w:pPr>
      <w:r>
        <w:rPr>
          <w:rFonts w:ascii="Source Serif 4" w:hAnsi="Source Serif 4" w:eastAsia="Source Serif 4"/>
          <w:b w:val="0"/>
          <w:i w:val="0"/>
          <w:color w:val="1A2334"/>
          <w:sz w:val="22"/>
        </w:rPr>
        <w:t>The third is compactness. Compact does not mean shallow. It means that every included item has a function. Repetition, historical explanation and superseded variants are not destroyed; they move to the archive. Active context remains readable enough for people and systems to notice contradictions.</w:t>
      </w:r>
    </w:p>
    <w:p>
      <w:pPr>
        <w:keepNext/>
        <w:spacing w:before="360" w:after="140"/>
      </w:pPr>
      <w:r>
        <w:rPr>
          <w:rFonts w:ascii="Fraunces" w:hAnsi="Fraunces" w:eastAsia="Fraunces"/>
          <w:b/>
          <w:i w:val="0"/>
          <w:color w:val="1A2334"/>
          <w:sz w:val="36"/>
        </w:rPr>
        <w:t>Saturation begins before the technical limit</w:t>
      </w:r>
    </w:p>
    <w:p>
      <w:pPr>
        <w:spacing w:before="0" w:after="160" w:line="322" w:lineRule="auto"/>
      </w:pPr>
      <w:r>
        <w:rPr>
          <w:rFonts w:ascii="Source Serif 4" w:hAnsi="Source Serif 4" w:eastAsia="Source Serif 4"/>
          <w:b w:val="0"/>
          <w:i w:val="0"/>
          <w:color w:val="1A2334"/>
          <w:sz w:val="22"/>
        </w:rPr>
        <w:t>Context can wear out long before a technical window is full. The first warning is often not an obvious error but a change in response quality: requirements are followed only partially, language becomes generic, resolved questions return or new proposals conflict with earlier decisions.</w:t>
      </w:r>
    </w:p>
    <w:p>
      <w:pPr>
        <w:spacing w:before="0" w:after="160" w:line="322" w:lineRule="auto"/>
      </w:pPr>
      <w:r>
        <w:rPr>
          <w:rFonts w:ascii="Source Serif 4" w:hAnsi="Source Serif 4" w:eastAsia="Source Serif 4"/>
          <w:b w:val="0"/>
          <w:i w:val="0"/>
          <w:color w:val="1A2334"/>
          <w:sz w:val="22"/>
        </w:rPr>
        <w:t>Saturation is therefore also a problem of attention. The more rules are simultaneously visible, the harder they are to prioritise. A model can repeat an old instruction correctly and still apply it in the wrong place. People experience something similar: an extensive project description feels complete even when nobody can name the three points that matter now.</w:t>
      </w:r>
    </w:p>
    <w:p>
      <w:pPr>
        <w:spacing w:before="0" w:after="160" w:line="322" w:lineRule="auto"/>
      </w:pPr>
      <w:r>
        <w:rPr>
          <w:rFonts w:ascii="Source Serif 4" w:hAnsi="Source Serif 4" w:eastAsia="Source Serif 4"/>
          <w:b w:val="0"/>
          <w:i w:val="0"/>
          <w:color w:val="1A2334"/>
          <w:sz w:val="22"/>
        </w:rPr>
        <w:t>Do not wait for collapse. Define early maintenance signals: repeated corrections, lost exceptions, conflicting terminology, unclear sources or the feeling that each new task requires the whole project to be explained again. When two or three signals appear together, the context needs controlled distillation, not another addition.</w:t>
      </w:r>
    </w:p>
    <w:p>
      <w:pPr>
        <w:keepNext/>
        <w:spacing w:before="360" w:after="140"/>
      </w:pPr>
      <w:r>
        <w:rPr>
          <w:rFonts w:ascii="Fraunces" w:hAnsi="Fraunces" w:eastAsia="Fraunces"/>
          <w:b/>
          <w:i w:val="0"/>
          <w:color w:val="1A2334"/>
          <w:sz w:val="36"/>
        </w:rPr>
        <w:t>Silent drift revives old decisions</w:t>
      </w:r>
    </w:p>
    <w:p>
      <w:pPr>
        <w:spacing w:before="0" w:after="160" w:line="322" w:lineRule="auto"/>
      </w:pPr>
      <w:r>
        <w:rPr>
          <w:rFonts w:ascii="Source Serif 4" w:hAnsi="Source Serif 4" w:eastAsia="Source Serif 4"/>
          <w:b w:val="0"/>
          <w:i w:val="0"/>
          <w:color w:val="1A2334"/>
          <w:sz w:val="22"/>
        </w:rPr>
        <w:t>Context wear often grows through well-intentioned continuation. A summary is updated, summarised again and later used as the basis for another hand-off. Conditions, uncertainty and reasoning can disappear at every stage. The text becomes shorter and apparently clearer while its connection to the original decision weakens.</w:t>
      </w:r>
    </w:p>
    <w:p>
      <w:pPr>
        <w:spacing w:before="0" w:after="160" w:line="322" w:lineRule="auto"/>
      </w:pPr>
      <w:r>
        <w:rPr>
          <w:rFonts w:ascii="Source Serif 4" w:hAnsi="Source Serif 4" w:eastAsia="Source Serif 4"/>
          <w:b w:val="0"/>
          <w:i w:val="0"/>
          <w:color w:val="1A2334"/>
          <w:sz w:val="22"/>
        </w:rPr>
        <w:t>Superseded decisions are particularly dangerous. An old variant may return later when its invalidity was not recorded as visibly as its introduction. A project therefore needs more than a list of what applies. It needs a small decision history: replaced, rejected, valid until or still open.</w:t>
      </w:r>
    </w:p>
    <w:p>
      <w:pPr>
        <w:spacing w:before="0" w:after="160" w:line="322" w:lineRule="auto"/>
      </w:pPr>
      <w:r>
        <w:rPr>
          <w:rFonts w:ascii="Source Serif 4" w:hAnsi="Source Serif 4" w:eastAsia="Source Serif 4"/>
          <w:b w:val="0"/>
          <w:i w:val="0"/>
          <w:color w:val="1A2334"/>
          <w:sz w:val="22"/>
        </w:rPr>
        <w:t>Drift can also be linguistic. “Should be evaluated” becomes “is planned” in a later summary and finally “will be implemented”. The content seems stable while its level of commitment changes. Status words are not a stylistic detail. They prevent possibility, intention and decision from collapsing into one another.</w:t>
      </w:r>
    </w:p>
    <w:p>
      <w:pPr>
        <w:keepNext/>
        <w:spacing w:before="360" w:after="140"/>
      </w:pPr>
      <w:r>
        <w:rPr>
          <w:rFonts w:ascii="Fraunces" w:hAnsi="Fraunces" w:eastAsia="Fraunces"/>
          <w:b/>
          <w:i w:val="0"/>
          <w:color w:val="1A2334"/>
          <w:sz w:val="36"/>
        </w:rPr>
        <w:t>Phases need a deliberate ending</w:t>
      </w:r>
    </w:p>
    <w:p>
      <w:pPr>
        <w:spacing w:before="0" w:after="160" w:line="322" w:lineRule="auto"/>
      </w:pPr>
      <w:r>
        <w:rPr>
          <w:rFonts w:ascii="Source Serif 4" w:hAnsi="Source Serif 4" w:eastAsia="Source Serif 4"/>
          <w:b w:val="0"/>
          <w:i w:val="0"/>
          <w:color w:val="1A2334"/>
          <w:sz w:val="22"/>
        </w:rPr>
        <w:t>A long chat should not continue merely because it feels familiar. Each project phase asks different questions and needs different material. Research gathers possibilities, design chooses, implementation needs binding specifications and review needs criteria plus observable results. When every phase remains in the same uncleaned context, their modes of thinking compete.</w:t>
      </w:r>
    </w:p>
    <w:p>
      <w:pPr>
        <w:spacing w:before="0" w:after="160" w:line="322" w:lineRule="auto"/>
      </w:pPr>
      <w:r>
        <w:rPr>
          <w:rFonts w:ascii="Source Serif 4" w:hAnsi="Source Serif 4" w:eastAsia="Source Serif 4"/>
          <w:b w:val="0"/>
          <w:i w:val="0"/>
          <w:color w:val="1A2334"/>
          <w:sz w:val="22"/>
        </w:rPr>
        <w:t>A phase ending has three movements. First, decide: What applies, what was rejected and what remains open? Second, distil: Which few materials carry the next phase? Third, hand over: What outcome should be created next, how will it be tested and when must work stop?</w:t>
      </w:r>
    </w:p>
    <w:p>
      <w:pPr>
        <w:spacing w:before="0" w:after="160" w:line="322" w:lineRule="auto"/>
      </w:pPr>
      <w:r>
        <w:rPr>
          <w:rFonts w:ascii="Source Serif 4" w:hAnsi="Source Serif 4" w:eastAsia="Source Serif 4"/>
          <w:b w:val="0"/>
          <w:i w:val="0"/>
          <w:color w:val="1A2334"/>
          <w:sz w:val="22"/>
        </w:rPr>
        <w:t>A hand-off is therefore not a shortened story of the conversation. It is a new working contract. It contains enough provenance to make decisions traceable, but not every detail of their origin. The archive remains accessible; the new working space begins from a dependable present.</w:t>
      </w:r>
    </w:p>
    <w:p>
      <w:pPr>
        <w:keepNext/>
        <w:spacing w:before="360" w:after="140"/>
      </w:pPr>
      <w:r>
        <w:rPr>
          <w:rFonts w:ascii="Fraunces" w:hAnsi="Fraunces" w:eastAsia="Fraunces"/>
          <w:b/>
          <w:i w:val="0"/>
          <w:color w:val="1A2334"/>
          <w:sz w:val="36"/>
        </w:rPr>
        <w:t>An independent view detects context faults earlier</w:t>
      </w:r>
    </w:p>
    <w:p>
      <w:pPr>
        <w:spacing w:before="0" w:after="160" w:line="322" w:lineRule="auto"/>
      </w:pPr>
      <w:r>
        <w:rPr>
          <w:rFonts w:ascii="Source Serif 4" w:hAnsi="Source Serif 4" w:eastAsia="Source Serif 4"/>
          <w:b w:val="0"/>
          <w:i w:val="0"/>
          <w:color w:val="1A2334"/>
          <w:sz w:val="22"/>
        </w:rPr>
        <w:t>People who have worked on a project for a long time fill missing connections from memory. A weak hand-off can therefore feel clear to its author while leaving crucial gaps for a newcomer. An independent review chat or a team member without the history is an effective test.</w:t>
      </w:r>
    </w:p>
    <w:p>
      <w:pPr>
        <w:spacing w:before="0" w:after="160" w:line="322" w:lineRule="auto"/>
      </w:pPr>
      <w:r>
        <w:rPr>
          <w:rFonts w:ascii="Source Serif 4" w:hAnsi="Source Serif 4" w:eastAsia="Source Serif 4"/>
          <w:b w:val="0"/>
          <w:i w:val="0"/>
          <w:color w:val="1A2334"/>
          <w:sz w:val="22"/>
        </w:rPr>
        <w:t>The second view should not continue the project. It should ask: Is the objective unambiguous? Which source is authoritative? Which decisions conflict? Which abbreviation is unclear? What is missing to perform the next step without speculation? A good hand-off passes this test without reopening the old conversation.</w:t>
      </w:r>
    </w:p>
    <w:p>
      <w:pPr>
        <w:spacing w:before="0" w:after="160" w:line="322" w:lineRule="auto"/>
      </w:pPr>
      <w:r>
        <w:rPr>
          <w:rFonts w:ascii="Source Serif 4" w:hAnsi="Source Serif 4" w:eastAsia="Source Serif 4"/>
          <w:b w:val="0"/>
          <w:i w:val="0"/>
          <w:color w:val="1A2334"/>
          <w:sz w:val="22"/>
        </w:rPr>
        <w:t>If a context break has already occurred, recovery is possible. Stop further production, secure existing artefacts, reconstruct the last confirmed decision from sources and decision history, then build a new active context. The aim is not to rescue as much as possible. It is to distinguish again what applies, why it applies and what will be tested next.</w:t>
      </w:r>
    </w:p>
    <w:p>
      <w:pPr>
        <w:keepNext/>
        <w:spacing w:before="360" w:after="140"/>
      </w:pPr>
      <w:r>
        <w:rPr>
          <w:rFonts w:ascii="Fraunces" w:hAnsi="Fraunces" w:eastAsia="Fraunces"/>
          <w:b/>
          <w:i w:val="0"/>
          <w:color w:val="1A2334"/>
          <w:sz w:val="36"/>
        </w:rPr>
        <w:t>Context maintenance is part of the real work</w:t>
      </w:r>
    </w:p>
    <w:p>
      <w:pPr>
        <w:spacing w:before="0" w:after="160" w:line="322" w:lineRule="auto"/>
      </w:pPr>
      <w:r>
        <w:rPr>
          <w:rFonts w:ascii="Source Serif 4" w:hAnsi="Source Serif 4" w:eastAsia="Source Serif 4"/>
          <w:b w:val="0"/>
          <w:i w:val="0"/>
          <w:color w:val="1A2334"/>
          <w:sz w:val="22"/>
        </w:rPr>
        <w:t>Context is often treated as packaging prepared before the actual task. In long AI projects, maintaining it is a production step of its own. Every decision changes what must remain visible. Every rejected variant creates information that should leave the active space and receive a status in the archive.</w:t>
      </w:r>
    </w:p>
    <w:p>
      <w:pPr>
        <w:spacing w:before="0" w:after="160" w:line="322" w:lineRule="auto"/>
      </w:pPr>
      <w:r>
        <w:rPr>
          <w:rFonts w:ascii="Source Serif 4" w:hAnsi="Source Serif 4" w:eastAsia="Source Serif 4"/>
          <w:b w:val="0"/>
          <w:i w:val="0"/>
          <w:color w:val="1A2334"/>
          <w:sz w:val="22"/>
        </w:rPr>
        <w:t>This does not require an elaborate platform. A short context manifest, decision log, source index and hand-off are sufficient for many projects. What matters is regularity: at the end of a phase, before a tool change, after a fundamental change in direction and whenever warning signals appear together.</w:t>
      </w:r>
    </w:p>
    <w:p>
      <w:pPr>
        <w:spacing w:before="0" w:after="160" w:line="322" w:lineRule="auto"/>
      </w:pPr>
      <w:r>
        <w:rPr>
          <w:rFonts w:ascii="Source Serif 4" w:hAnsi="Source Serif 4" w:eastAsia="Source Serif 4"/>
          <w:b w:val="0"/>
          <w:i w:val="0"/>
          <w:color w:val="1A2334"/>
          <w:sz w:val="22"/>
        </w:rPr>
        <w:t>A good system does not remember everything. It knows what matters now, where it came from and when it must be reviewed again. That is the real quality of maintained context: it preserves not merely the past, but the ability to continue meaningful work in the present.</w:t>
      </w:r>
    </w:p>
    <w:p>
      <w:pPr>
        <w:keepNext/>
        <w:spacing w:before="360" w:after="140"/>
      </w:pPr>
      <w:r>
        <w:rPr>
          <w:rFonts w:ascii="Fraunces" w:hAnsi="Fraunces" w:eastAsia="Fraunces"/>
          <w:b/>
          <w:i w:val="0"/>
          <w:color w:val="1A2334"/>
          <w:sz w:val="36"/>
        </w:rPr>
        <w:t>The context cockpit</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CONTEXT COCKPIT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**Current objective**</w:t>
            </w:r>
          </w:p>
          <w:p>
            <w:pPr>
              <w:spacing w:after="40"/>
            </w:pPr>
            <w:r>
              <w:rPr>
                <w:rFonts w:ascii="IBM Plex Mono" w:hAnsi="IBM Plex Mono" w:eastAsia="IBM Plex Mono"/>
                <w:b w:val="0"/>
                <w:i w:val="0"/>
                <w:color w:val="27334A"/>
                <w:sz w:val="17"/>
              </w:rPr>
              <w:t>Which verifiable outcome should this phase produce?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**Binding decisions**</w:t>
            </w:r>
          </w:p>
          <w:p>
            <w:pPr>
              <w:spacing w:after="40"/>
            </w:pPr>
            <w:r>
              <w:rPr>
                <w:rFonts w:ascii="IBM Plex Mono" w:hAnsi="IBM Plex Mono" w:eastAsia="IBM Plex Mono"/>
                <w:b w:val="0"/>
                <w:i w:val="0"/>
                <w:color w:val="27334A"/>
                <w:sz w:val="17"/>
              </w:rPr>
              <w:t>What has been decided—and since when?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**Authoritative sources**</w:t>
            </w:r>
          </w:p>
          <w:p>
            <w:pPr>
              <w:spacing w:after="40"/>
            </w:pPr>
            <w:r>
              <w:rPr>
                <w:rFonts w:ascii="IBM Plex Mono" w:hAnsi="IBM Plex Mono" w:eastAsia="IBM Plex Mono"/>
                <w:b w:val="0"/>
                <w:i w:val="0"/>
                <w:color w:val="27334A"/>
                <w:sz w:val="17"/>
              </w:rPr>
              <w:t>Which files or evidence take precedence?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**No longer valid**</w:t>
            </w:r>
          </w:p>
          <w:p>
            <w:pPr>
              <w:spacing w:after="40"/>
            </w:pPr>
            <w:r>
              <w:rPr>
                <w:rFonts w:ascii="IBM Plex Mono" w:hAnsi="IBM Plex Mono" w:eastAsia="IBM Plex Mono"/>
                <w:b w:val="0"/>
                <w:i w:val="0"/>
                <w:color w:val="27334A"/>
                <w:sz w:val="17"/>
              </w:rPr>
              <w:t>Which variants, terms or assumptions were superseded?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**Open tensions**</w:t>
            </w:r>
          </w:p>
          <w:p>
            <w:pPr>
              <w:spacing w:after="40"/>
            </w:pPr>
            <w:r>
              <w:rPr>
                <w:rFonts w:ascii="IBM Plex Mono" w:hAnsi="IBM Plex Mono" w:eastAsia="IBM Plex Mono"/>
                <w:b w:val="0"/>
                <w:i w:val="0"/>
                <w:color w:val="27334A"/>
                <w:sz w:val="17"/>
              </w:rPr>
              <w:t>What is contradictory, unresolved or still to be tested?</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**Next checkpoint**</w:t>
            </w:r>
          </w:p>
          <w:p>
            <w:pPr>
              <w:spacing w:after="40"/>
            </w:pPr>
            <w:r>
              <w:rPr>
                <w:rFonts w:ascii="IBM Plex Mono" w:hAnsi="IBM Plex Mono" w:eastAsia="IBM Plex Mono"/>
                <w:b w:val="0"/>
                <w:i w:val="0"/>
                <w:color w:val="27334A"/>
                <w:sz w:val="17"/>
              </w:rPr>
              <w:t>Which step follows, and which criterion decides whether to continue?</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**Maintenance signal**</w:t>
            </w:r>
          </w:p>
          <w:p>
            <w:pPr>
              <w:spacing w:after="40"/>
            </w:pPr>
            <w:r>
              <w:rPr>
                <w:rFonts w:ascii="IBM Plex Mono" w:hAnsi="IBM Plex Mono" w:eastAsia="IBM Plex Mono"/>
                <w:b w:val="0"/>
                <w:i w:val="0"/>
                <w:color w:val="27334A"/>
                <w:sz w:val="17"/>
              </w:rPr>
              <w:t>When must this context be distilled or handed over again?</w:t>
            </w:r>
          </w:p>
        </w:tc>
      </w:tr>
    </w:tbl>
    <w:p>
      <w:pPr>
        <w:spacing w:before="240" w:after="280" w:line="322" w:lineRule="auto"/>
      </w:pPr>
      <w:r>
        <w:rPr>
          <w:rFonts w:ascii="Source Serif 4" w:hAnsi="Source Serif 4" w:eastAsia="Source Serif 4"/>
          <w:b w:val="0"/>
          <w:i w:val="0"/>
          <w:color w:val="1A2334"/>
          <w:sz w:val="22"/>
        </w:rPr>
        <w:t>Context wear is not an unavoidable price of long projects. It appears when history, present state and assumption receive the same weight. Selecting relevance, preserving provenance and closing phases deliberately turns context from a growing pile of text into controllable infrastructure for decisions.</w:t>
      </w:r>
    </w:p>
    <w:p>
      <w:r>
        <w:br w:type="page"/>
      </w:r>
    </w:p>
    <w:p>
      <w:pPr>
        <w:spacing w:after="140"/>
      </w:pPr>
      <w:r>
        <w:rPr>
          <w:rFonts w:ascii="Fraunces" w:hAnsi="Fraunces" w:eastAsia="Fraunces"/>
          <w:b/>
          <w:i w:val="0"/>
          <w:color w:val="1A2334"/>
          <w:sz w:val="50"/>
        </w:rPr>
        <w:t>Worksheet: Renew a worn project context</w:t>
      </w:r>
    </w:p>
    <w:p>
      <w:pPr>
        <w:spacing w:before="0" w:after="280" w:line="322" w:lineRule="auto"/>
      </w:pPr>
      <w:r>
        <w:rPr>
          <w:rFonts w:ascii="Source Serif 4" w:hAnsi="Source Serif 4" w:eastAsia="Source Serif 4"/>
          <w:b w:val="0"/>
          <w:i w:val="0"/>
          <w:color w:val="1A2334"/>
          <w:sz w:val="22"/>
        </w:rPr>
        <w:t>Choose an active project in which requirements repeat, decisions have become unclear or a new conversation struggles to understand the state. Build a dependable working context from it.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Collect warning signals</w:t>
            </w:r>
          </w:p>
          <w:p>
            <w:pPr>
              <w:spacing w:line="300" w:lineRule="auto"/>
            </w:pPr>
            <w:r>
              <w:rPr>
                <w:rFonts w:ascii="Source Serif 4" w:hAnsi="Source Serif 4" w:eastAsia="Source Serif 4"/>
                <w:b w:val="0"/>
                <w:i w:val="0"/>
                <w:color w:val="354159"/>
                <w:sz w:val="21"/>
              </w:rPr>
              <w:t>Record concrete examples of repetition, contradiction, lost exceptions or unclear provenance. Observe symptoms rather than judging the entire history.</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Separate archive and workspace</w:t>
            </w:r>
          </w:p>
          <w:p>
            <w:pPr>
              <w:spacing w:line="300" w:lineRule="auto"/>
            </w:pPr>
            <w:r>
              <w:rPr>
                <w:rFonts w:ascii="Source Serif 4" w:hAnsi="Source Serif 4" w:eastAsia="Source Serif 4"/>
                <w:b w:val="0"/>
                <w:i w:val="0"/>
                <w:color w:val="354159"/>
                <w:sz w:val="21"/>
              </w:rPr>
              <w:t>Move history, old variants and background into the conceptual archive. Keep only information that changes the next decision in active context.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Clarify status and provenance</w:t>
            </w:r>
          </w:p>
          <w:p>
            <w:pPr>
              <w:spacing w:line="300" w:lineRule="auto"/>
            </w:pPr>
            <w:r>
              <w:rPr>
                <w:rFonts w:ascii="Source Serif 4" w:hAnsi="Source Serif 4" w:eastAsia="Source Serif 4"/>
                <w:b w:val="0"/>
                <w:i w:val="0"/>
                <w:color w:val="354159"/>
                <w:sz w:val="21"/>
              </w:rPr>
              <w:t>Label each central statement as decision, source, assumption, open or superseded. Link the authoritative basis for important decisions.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Write the context cockpit</w:t>
            </w:r>
          </w:p>
          <w:p>
            <w:pPr>
              <w:spacing w:line="300" w:lineRule="auto"/>
            </w:pPr>
            <w:r>
              <w:rPr>
                <w:rFonts w:ascii="Source Serif 4" w:hAnsi="Source Serif 4" w:eastAsia="Source Serif 4"/>
                <w:b w:val="0"/>
                <w:i w:val="0"/>
                <w:color w:val="354159"/>
                <w:sz w:val="21"/>
              </w:rPr>
              <w:t>Complete objective, decisions, sources, invalid variants, open tensions and checkpoint in no more than two pages.</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5</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5. Test independently</w:t>
            </w:r>
          </w:p>
          <w:p>
            <w:pPr>
              <w:spacing w:line="300" w:lineRule="auto"/>
            </w:pPr>
            <w:r>
              <w:rPr>
                <w:rFonts w:ascii="Source Serif 4" w:hAnsi="Source Serif 4" w:eastAsia="Source Serif 4"/>
                <w:b w:val="0"/>
                <w:i w:val="0"/>
                <w:color w:val="354159"/>
                <w:sz w:val="21"/>
              </w:rPr>
              <w:t>Give the cockpit to a person or new chat without the history. Collect only the questions that truly must be answered for the next step.</w:t>
            </w:r>
          </w:p>
        </w:tc>
      </w:tr>
    </w:tbl>
    <w:p>
      <w:pPr>
        <w:spacing w:after="40"/>
      </w:pPr>
    </w:p>
    <w:p>
      <w:pPr>
        <w:keepNext/>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The information I mistakenly treated as indispensable context: 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The first warning signal I will act on in future: 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