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What a good AI skill really is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Not a personality trait, but a clear and tested capability.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A good AI skill is not a long role instruction or a decorative title. It describes a repeatable capability: where it is used, which information it needs, what it should deliver and when it must stop or ask.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Capability, not personality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“Be an expert” leaves much open. A skill becomes useful when it has a clear work area: checking inputs, reading a draft against criteria or creating a structured hand-off.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narrower a capability is described, the easier it is to test and improve.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Four building blocks are enough to begin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skill needs a task, necessary inputs, a checkable output and boundaries. Boundaries matter especially: What may not be invented? When must it ask? When should a person decide?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This creates a useful tool, not an artificial all-rounder.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Skills are learned through cases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Describe a normal case, a difficult case and a case where the skill must refuse or ask questions. These counterexamples show whether the rules hold.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skill is good when you can understand and correct its result.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skill profile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SKILL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**Can**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**Needs**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**Delivers**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**Checks**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**Asks when**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**Must not**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good skill does not make AI human. It makes a recurring task clearer, safer and easier to check.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Define a small skill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Choose a recurring task from your field and describe it in six short fields.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Choose one capability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State one repeatable task.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Define inputs and output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What is needed and what should result?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Set boundaries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When must the skill ask or stop?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Test three cases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a normal, difficult and impermissible case.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most important boundary of my skill: _________________________________________________________________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case I will test first: 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