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An AI notice alone does not create transparency</w:t>
      </w:r>
    </w:p>
    <w:p>
      <w:pPr>
        <w:spacing w:after="160" w:line="283" w:lineRule="auto"/>
      </w:pPr>
      <w:r>
        <w:rPr>
          <w:rFonts w:ascii="Aptos" w:hAnsi="Aptos"/>
          <w:b w:val="0"/>
          <w:i w:val="0"/>
          <w:color w:val="637087"/>
          <w:sz w:val="25"/>
        </w:rPr>
        <w:t>Why effective disclosure must connect notice, context, provenance, action and evidence in one verifiable interface.</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An AI notice alone does not create transparency" descr="A bright five-layer transparency interface connects a central content card to a visible notice, context, provenance trail, human action route and audit evidence; a small amber gap marks lost metadata."/>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“This content was created with AI” is a signal. Transparency begins when people understand what that signal means in the situation and what they can do next.</w:t>
            </w:r>
          </w:p>
        </w:tc>
      </w:tr>
    </w:tbl>
    <w:p>
      <w:pPr>
        <w:spacing w:after="140" w:line="283" w:lineRule="auto"/>
      </w:pPr>
      <w:r>
        <w:rPr>
          <w:rFonts w:ascii="Aptos" w:hAnsi="Aptos"/>
          <w:b w:val="0"/>
          <w:i w:val="0"/>
          <w:color w:val="1A2334"/>
          <w:sz w:val="21"/>
        </w:rPr>
        <w:t>A small AI notice in a footer feels reassuring. It appears to turn a complex duty into one visible sentence. Yet the sentence answers only one question: Was AI involved? It does not say which part was generated or manipulated, which data and sources were used, whether a human reviewed the output, how reliable it is or where correction can be requested.</w:t>
      </w:r>
    </w:p>
    <w:p>
      <w:pPr>
        <w:spacing w:after="140" w:line="283" w:lineRule="auto"/>
      </w:pPr>
      <w:r>
        <w:rPr>
          <w:rFonts w:ascii="Aptos" w:hAnsi="Aptos"/>
          <w:b w:val="0"/>
          <w:i w:val="0"/>
          <w:color w:val="1A2334"/>
          <w:sz w:val="21"/>
        </w:rPr>
        <w:t>Transparency is therefore not a copywriting task. It is a technical and organisational interface between system, deployer and affected person. That interface must appear in time, provide intelligible context, preserve provenance and edit history, open an action path and produce internal evidence that it works.</w:t>
      </w:r>
    </w:p>
    <w:p>
      <w:pPr>
        <w:keepNext/>
        <w:spacing w:before="320" w:after="120"/>
      </w:pPr>
      <w:r>
        <w:rPr>
          <w:rFonts w:ascii="Georgia" w:hAnsi="Georgia"/>
          <w:b/>
          <w:i w:val="0"/>
          <w:color w:val="1A2334"/>
          <w:sz w:val="32"/>
        </w:rPr>
        <w:t>Transparency should enable a decision</w:t>
      </w:r>
    </w:p>
    <w:p>
      <w:pPr>
        <w:spacing w:after="140" w:line="283" w:lineRule="auto"/>
      </w:pPr>
      <w:r>
        <w:rPr>
          <w:rFonts w:ascii="Aptos" w:hAnsi="Aptos"/>
          <w:b w:val="0"/>
          <w:i w:val="0"/>
          <w:color w:val="1A2334"/>
          <w:sz w:val="21"/>
        </w:rPr>
        <w:t>An effective notice changes behaviour. A person may choose different information when they know in time that they are interacting with a chatbot. They may interpret a synthetic image differently. When an AI-supported recommendation enters a process, they need to know its role and whether a human can override it.</w:t>
      </w:r>
    </w:p>
    <w:p>
      <w:pPr>
        <w:spacing w:after="140" w:line="283" w:lineRule="auto"/>
      </w:pPr>
      <w:r>
        <w:rPr>
          <w:rFonts w:ascii="Aptos" w:hAnsi="Aptos"/>
          <w:b w:val="0"/>
          <w:i w:val="0"/>
          <w:color w:val="1A2334"/>
          <w:sz w:val="21"/>
        </w:rPr>
        <w:t>The quality question is not, “Does a notice exist somewhere?” It is, “Which decision should the audience be able to make more intelligently because of it?” Without that target decision, even formally careful wording can be operationally empty.</w:t>
      </w:r>
    </w:p>
    <w:p>
      <w:pPr>
        <w:spacing w:after="140" w:line="283" w:lineRule="auto"/>
      </w:pPr>
      <w:r>
        <w:rPr>
          <w:rFonts w:ascii="Aptos" w:hAnsi="Aptos"/>
          <w:b w:val="0"/>
          <w:i w:val="0"/>
          <w:color w:val="1A2334"/>
          <w:sz w:val="21"/>
        </w:rPr>
        <w:t>Transparency also has at least two audiences. External people need understandable information and a real action route. Internal deployers need system boundaries, performance characteristics, logs and change information so they can interpret outputs and use the system appropriately. A public label cannot replace operating documentation, and a technical dossier cannot replace a visible notice.</w:t>
      </w:r>
    </w:p>
    <w:p>
      <w:pPr>
        <w:keepNext/>
        <w:spacing w:before="320" w:after="120"/>
      </w:pPr>
      <w:r>
        <w:rPr>
          <w:rFonts w:ascii="Georgia" w:hAnsi="Georgia"/>
          <w:b/>
          <w:i w:val="0"/>
          <w:color w:val="1A2334"/>
          <w:sz w:val="32"/>
        </w:rPr>
        <w:t>Article 50 is not one generic labelling rule</w:t>
      </w:r>
    </w:p>
    <w:p>
      <w:pPr>
        <w:spacing w:after="140" w:line="283" w:lineRule="auto"/>
      </w:pPr>
      <w:r>
        <w:rPr>
          <w:rFonts w:ascii="Aptos" w:hAnsi="Aptos"/>
          <w:b w:val="0"/>
          <w:i w:val="0"/>
          <w:color w:val="1A2334"/>
          <w:sz w:val="21"/>
        </w:rPr>
        <w:t>Article 50 of the EU AI Act distinguishes several situations. Systems intended to interact directly with natural persons generally need to disclose that the person is interacting with AI unless this is obvious to a reasonably well-informed, observant and circumspect person. Providers of systems generating synthetic audio, image, video or text content face requirements concerning machine-readable marking and detectability.</w:t>
      </w:r>
    </w:p>
    <w:p>
      <w:pPr>
        <w:spacing w:after="140" w:line="283" w:lineRule="auto"/>
      </w:pPr>
      <w:r>
        <w:rPr>
          <w:rFonts w:ascii="Aptos" w:hAnsi="Aptos"/>
          <w:b w:val="0"/>
          <w:i w:val="0"/>
          <w:color w:val="1A2334"/>
          <w:sz w:val="21"/>
        </w:rPr>
        <w:t>Deployers also have disclosure obligations for certain deepfakes and AI-generated or manipulated text published to inform the public on matters of public interest. The legal text contains exceptions and special treatment, including for legally authorised purposes and artistic, satirical, fictional or similar works. “We label everything the same way” is therefore as imprecise as “one disclaimer is enough.”</w:t>
      </w:r>
    </w:p>
    <w:p>
      <w:pPr>
        <w:spacing w:after="140" w:line="283" w:lineRule="auto"/>
      </w:pPr>
      <w:r>
        <w:rPr>
          <w:rFonts w:ascii="Aptos" w:hAnsi="Aptos"/>
          <w:b w:val="0"/>
          <w:i w:val="0"/>
          <w:color w:val="1A2334"/>
          <w:sz w:val="21"/>
        </w:rPr>
        <w:t>Article 50 duties apply from 2 August 2026. The final European Code of Practice on Transparency of AI-Generated Content was published in June 2026. It is voluntary and supports implementation of specific paragraphs. It does not replace the law or case-specific assessment of role, content and exception.</w:t>
      </w:r>
    </w:p>
    <w:p>
      <w:pPr>
        <w:keepNext/>
        <w:spacing w:before="320" w:after="120"/>
      </w:pPr>
      <w:r>
        <w:rPr>
          <w:rFonts w:ascii="Georgia" w:hAnsi="Georgia"/>
          <w:b/>
          <w:i w:val="0"/>
          <w:color w:val="1A2334"/>
          <w:sz w:val="32"/>
        </w:rPr>
        <w:t>Providers and deployers hold different pieces</w:t>
      </w:r>
    </w:p>
    <w:p>
      <w:pPr>
        <w:spacing w:after="140" w:line="283" w:lineRule="auto"/>
      </w:pPr>
      <w:r>
        <w:rPr>
          <w:rFonts w:ascii="Aptos" w:hAnsi="Aptos"/>
          <w:b w:val="0"/>
          <w:i w:val="0"/>
          <w:color w:val="1A2334"/>
          <w:sz w:val="21"/>
        </w:rPr>
        <w:t>A provider can integrate a technical marker into generation but may not know the later publication context. A deployer knows the audience, channel and effect but may lack full insight into the model or provenance signal. Effective transparency requires these pieces to connect.</w:t>
      </w:r>
    </w:p>
    <w:p>
      <w:pPr>
        <w:spacing w:after="140" w:line="283" w:lineRule="auto"/>
      </w:pPr>
      <w:r>
        <w:rPr>
          <w:rFonts w:ascii="Aptos" w:hAnsi="Aptos"/>
          <w:b w:val="0"/>
          <w:i w:val="0"/>
          <w:color w:val="1A2334"/>
          <w:sz w:val="21"/>
        </w:rPr>
        <w:t>A defensible handover therefore covers more than product features: Which outputs can be marked? Where is the marker stored? How is it verified? Which transformations can remove it? Which version is active? Which visible disclosure remains the deployer's responsibility? How was an exception assessed? When these questions disappear between procurement, engineering, communications and business teams, transparency debt grows.</w:t>
      </w:r>
    </w:p>
    <w:p>
      <w:pPr>
        <w:keepNext/>
        <w:spacing w:before="320" w:after="120"/>
      </w:pPr>
      <w:r>
        <w:rPr>
          <w:rFonts w:ascii="Georgia" w:hAnsi="Georgia"/>
          <w:b/>
          <w:i w:val="0"/>
          <w:color w:val="1A2334"/>
          <w:sz w:val="32"/>
        </w:rPr>
        <w:t>Five layers of an effective transparency interface</w:t>
      </w:r>
    </w:p>
    <w:p>
      <w:pPr>
        <w:spacing w:after="140" w:line="283" w:lineRule="auto"/>
      </w:pPr>
      <w:r>
        <w:rPr>
          <w:rFonts w:ascii="Aptos" w:hAnsi="Aptos"/>
          <w:b w:val="0"/>
          <w:i w:val="0"/>
          <w:color w:val="1A2334"/>
          <w:sz w:val="21"/>
        </w:rPr>
        <w:t>A practical model links five layers: **NOTICE → CONTEXT → PROVENANCE → ACTION → EVIDENCE**.</w:t>
      </w:r>
    </w:p>
    <w:p>
      <w:pPr>
        <w:keepNext/>
        <w:spacing w:before="220" w:after="120"/>
      </w:pPr>
      <w:r>
        <w:rPr>
          <w:rFonts w:ascii="Georgia" w:hAnsi="Georgia"/>
          <w:b/>
          <w:i w:val="0"/>
          <w:color w:val="1A2334"/>
          <w:sz w:val="25"/>
        </w:rPr>
        <w:t>1. Notice: immediate recognition</w:t>
      </w:r>
    </w:p>
    <w:p>
      <w:pPr>
        <w:spacing w:after="140" w:line="283" w:lineRule="auto"/>
      </w:pPr>
      <w:r>
        <w:rPr>
          <w:rFonts w:ascii="Aptos" w:hAnsi="Aptos"/>
          <w:b w:val="0"/>
          <w:i w:val="0"/>
          <w:color w:val="1A2334"/>
          <w:sz w:val="21"/>
        </w:rPr>
        <w:t>The initial notice should appear before, or at the latest when, it can still influence the relevant action. A chatbot disclosure after sensitive data has been submitted is too late. A label visible only after several clicks cannot prevent the first false impression.</w:t>
      </w:r>
    </w:p>
    <w:p>
      <w:pPr>
        <w:spacing w:after="140" w:line="283" w:lineRule="auto"/>
      </w:pPr>
      <w:r>
        <w:rPr>
          <w:rFonts w:ascii="Aptos" w:hAnsi="Aptos"/>
          <w:b w:val="0"/>
          <w:i w:val="0"/>
          <w:color w:val="1A2334"/>
          <w:sz w:val="21"/>
        </w:rPr>
        <w:t>Prominence depends on position, contrast, size, duration, language, audio alternatives and mobile rendering. A disclosure must not be confused with a decorative icon. Accessibility is part of the primary interface, not a later translation exercise.</w:t>
      </w:r>
    </w:p>
    <w:p>
      <w:pPr>
        <w:keepNext/>
        <w:spacing w:before="220" w:after="120"/>
      </w:pPr>
      <w:r>
        <w:rPr>
          <w:rFonts w:ascii="Georgia" w:hAnsi="Georgia"/>
          <w:b/>
          <w:i w:val="0"/>
          <w:color w:val="1A2334"/>
          <w:sz w:val="25"/>
        </w:rPr>
        <w:t>2. Context: meaning and limits</w:t>
      </w:r>
    </w:p>
    <w:p>
      <w:pPr>
        <w:spacing w:after="140" w:line="283" w:lineRule="auto"/>
      </w:pPr>
      <w:r>
        <w:rPr>
          <w:rFonts w:ascii="Aptos" w:hAnsi="Aptos"/>
          <w:b w:val="0"/>
          <w:i w:val="0"/>
          <w:color w:val="1A2334"/>
          <w:sz w:val="21"/>
        </w:rPr>
        <w:t>The second layer explains what AI does in this case. Does it draft, rank cases, translate content or trigger an action? Which information came from people and which from automated sources? Which known limitations matter for this situation?</w:t>
      </w:r>
    </w:p>
    <w:p>
      <w:pPr>
        <w:spacing w:after="140" w:line="283" w:lineRule="auto"/>
      </w:pPr>
      <w:r>
        <w:rPr>
          <w:rFonts w:ascii="Aptos" w:hAnsi="Aptos"/>
          <w:b w:val="0"/>
          <w:i w:val="0"/>
          <w:color w:val="1A2334"/>
          <w:sz w:val="21"/>
        </w:rPr>
        <w:t>Context should be proportional to risk. A low-stakes writing aid needs less explanation than a medical, financial, employment or public-service process. More text is not automatically better. Progressive disclosure presents the essentials first and offers deeper detail when needed.</w:t>
      </w:r>
    </w:p>
    <w:p>
      <w:pPr>
        <w:keepNext/>
        <w:spacing w:before="220" w:after="120"/>
      </w:pPr>
      <w:r>
        <w:rPr>
          <w:rFonts w:ascii="Georgia" w:hAnsi="Georgia"/>
          <w:b/>
          <w:i w:val="0"/>
          <w:color w:val="1A2334"/>
          <w:sz w:val="25"/>
        </w:rPr>
        <w:t>3. Provenance: origin and edit history</w:t>
      </w:r>
    </w:p>
    <w:p>
      <w:pPr>
        <w:spacing w:after="140" w:line="283" w:lineRule="auto"/>
      </w:pPr>
      <w:r>
        <w:rPr>
          <w:rFonts w:ascii="Aptos" w:hAnsi="Aptos"/>
          <w:b w:val="0"/>
          <w:i w:val="0"/>
          <w:color w:val="1A2334"/>
          <w:sz w:val="21"/>
        </w:rPr>
        <w:t>Machine-readable markers and Content Credentials can bind origin information to content. A technical manifest can record creator, signature, time, tools and transformations. Standards such as C2PA provide interoperable structures for this purpose.</w:t>
      </w:r>
    </w:p>
    <w:p>
      <w:pPr>
        <w:spacing w:after="140" w:line="283" w:lineRule="auto"/>
      </w:pPr>
      <w:r>
        <w:rPr>
          <w:rFonts w:ascii="Aptos" w:hAnsi="Aptos"/>
          <w:b w:val="0"/>
          <w:i w:val="0"/>
          <w:color w:val="1A2334"/>
          <w:sz w:val="21"/>
        </w:rPr>
        <w:t>Provenance is useful but bounded. Metadata may disappear through export, screenshots, copying or platform changes. Absence of a signal therefore does not prove human creation. Conversely, a valid provenance chain does not prove that a claim is true, fair or complete. It answers “Where did this come from and what happened to it?”, not “Is it correct?”</w:t>
      </w:r>
    </w:p>
    <w:p>
      <w:pPr>
        <w:keepNext/>
        <w:spacing w:before="220" w:after="120"/>
      </w:pPr>
      <w:r>
        <w:rPr>
          <w:rFonts w:ascii="Georgia" w:hAnsi="Georgia"/>
          <w:b/>
          <w:i w:val="0"/>
          <w:color w:val="1A2334"/>
          <w:sz w:val="25"/>
        </w:rPr>
        <w:t>4. Action: a human route</w:t>
      </w:r>
    </w:p>
    <w:p>
      <w:pPr>
        <w:spacing w:after="140" w:line="283" w:lineRule="auto"/>
      </w:pPr>
      <w:r>
        <w:rPr>
          <w:rFonts w:ascii="Aptos" w:hAnsi="Aptos"/>
          <w:b w:val="0"/>
          <w:i w:val="0"/>
          <w:color w:val="1A2334"/>
          <w:sz w:val="21"/>
        </w:rPr>
        <w:t>Transparency without action can become a warning attached to an unavoidable outcome. Depending on the use case, people need a route to a human contact, correction, renewed review, challenge, manipulated-content report or exit from the interaction.</w:t>
      </w:r>
    </w:p>
    <w:p>
      <w:pPr>
        <w:spacing w:after="140" w:line="283" w:lineRule="auto"/>
      </w:pPr>
      <w:r>
        <w:rPr>
          <w:rFonts w:ascii="Aptos" w:hAnsi="Aptos"/>
          <w:b w:val="0"/>
          <w:i w:val="0"/>
          <w:color w:val="1A2334"/>
          <w:sz w:val="21"/>
        </w:rPr>
        <w:t>That route must be operational. A contact form without an owner, response time and return channel is not effective human oversight. The organisation specifies who receives the case, which evidence is preserved, which decision can be paused and how the outcome returns to the person.</w:t>
      </w:r>
    </w:p>
    <w:p>
      <w:pPr>
        <w:keepNext/>
        <w:spacing w:before="220" w:after="120"/>
      </w:pPr>
      <w:r>
        <w:rPr>
          <w:rFonts w:ascii="Georgia" w:hAnsi="Georgia"/>
          <w:b/>
          <w:i w:val="0"/>
          <w:color w:val="1A2334"/>
          <w:sz w:val="25"/>
        </w:rPr>
        <w:t>5. Evidence: records and audit</w:t>
      </w:r>
    </w:p>
    <w:p>
      <w:pPr>
        <w:spacing w:after="140" w:line="283" w:lineRule="auto"/>
      </w:pPr>
      <w:r>
        <w:rPr>
          <w:rFonts w:ascii="Aptos" w:hAnsi="Aptos"/>
          <w:b w:val="0"/>
          <w:i w:val="0"/>
          <w:color w:val="1A2334"/>
          <w:sz w:val="21"/>
        </w:rPr>
        <w:t>The final layer is internal. It demonstrates that disclosures were delivered, not merely designed. Evidence may include version, language, channel, audience, display timing, exception logic, test case, owner and change history.</w:t>
      </w:r>
    </w:p>
    <w:p>
      <w:pPr>
        <w:spacing w:after="140" w:line="283" w:lineRule="auto"/>
      </w:pPr>
      <w:r>
        <w:rPr>
          <w:rFonts w:ascii="Aptos" w:hAnsi="Aptos"/>
          <w:b w:val="0"/>
          <w:i w:val="0"/>
          <w:color w:val="1A2334"/>
          <w:sz w:val="21"/>
        </w:rPr>
        <w:t>For dynamic systems, a screenshot from the design phase is insufficient. Tests should confirm that notices appear in real journeys, machine-readable markers survive transformations where expected, and human contact works. Sampling and monitoring detect transparency breaks in operations.</w:t>
      </w:r>
    </w:p>
    <w:p>
      <w:pPr>
        <w:keepNext/>
        <w:spacing w:before="320" w:after="120"/>
      </w:pPr>
      <w:r>
        <w:rPr>
          <w:rFonts w:ascii="Georgia" w:hAnsi="Georgia"/>
          <w:b/>
          <w:i w:val="0"/>
          <w:color w:val="1A2334"/>
          <w:sz w:val="32"/>
        </w:rPr>
        <w:t>Provenance is not a truth stamp</w:t>
      </w:r>
    </w:p>
    <w:p>
      <w:pPr>
        <w:spacing w:after="140" w:line="283" w:lineRule="auto"/>
      </w:pPr>
      <w:r>
        <w:rPr>
          <w:rFonts w:ascii="Aptos" w:hAnsi="Aptos"/>
          <w:b w:val="0"/>
          <w:i w:val="0"/>
          <w:color w:val="1A2334"/>
          <w:sz w:val="21"/>
        </w:rPr>
        <w:t>Confusing provenance with truth is a dangerous category error. An authentically signed photograph can present a misleading selection. A fully documented synthetic text can contain false facts. An unmarked item can still be accurate. Provenance informs evaluation; it does not replace it.</w:t>
      </w:r>
    </w:p>
    <w:p>
      <w:pPr>
        <w:spacing w:after="140" w:line="283" w:lineRule="auto"/>
      </w:pPr>
      <w:r>
        <w:rPr>
          <w:rFonts w:ascii="Aptos" w:hAnsi="Aptos"/>
          <w:b w:val="0"/>
          <w:i w:val="0"/>
          <w:color w:val="1A2334"/>
          <w:sz w:val="21"/>
        </w:rPr>
        <w:t>A robust publication pipeline therefore separates controls for identity, integrity, content and context. A signature checks whether the chain changed. Source verification evaluates claims. Editorial review examines selection and fairness. Risk and approval rules decide whether the content may be used.</w:t>
      </w:r>
    </w:p>
    <w:p>
      <w:pPr>
        <w:spacing w:after="140" w:line="283" w:lineRule="auto"/>
      </w:pPr>
      <w:r>
        <w:rPr>
          <w:rFonts w:ascii="Aptos" w:hAnsi="Aptos"/>
          <w:b w:val="0"/>
          <w:i w:val="0"/>
          <w:color w:val="1A2334"/>
          <w:sz w:val="21"/>
        </w:rPr>
        <w:t>Detectors are not a universal answer either. Probabilistic detection can produce errors and degrade after editing. It should be treated as one uncertain signal, not sole evidence against a person or item.</w:t>
      </w:r>
    </w:p>
    <w:p>
      <w:pPr>
        <w:keepNext/>
        <w:spacing w:before="320" w:after="120"/>
      </w:pPr>
      <w:r>
        <w:rPr>
          <w:rFonts w:ascii="Georgia" w:hAnsi="Georgia"/>
          <w:b/>
          <w:i w:val="0"/>
          <w:color w:val="1A2334"/>
          <w:sz w:val="32"/>
        </w:rPr>
        <w:t>Transparency must survive across channels</w:t>
      </w:r>
    </w:p>
    <w:p>
      <w:pPr>
        <w:spacing w:after="140" w:line="283" w:lineRule="auto"/>
      </w:pPr>
      <w:r>
        <w:rPr>
          <w:rFonts w:ascii="Aptos" w:hAnsi="Aptos"/>
          <w:b w:val="0"/>
          <w:i w:val="0"/>
          <w:color w:val="1A2334"/>
          <w:sz w:val="21"/>
        </w:rPr>
        <w:t>Content travels from model to editor, through a digital asset system, into a social platform, as a screenshot into a messenger and then into a presentation. Visible labels, metadata and context can disappear at every handoff.</w:t>
      </w:r>
    </w:p>
    <w:p>
      <w:pPr>
        <w:spacing w:after="140" w:line="283" w:lineRule="auto"/>
      </w:pPr>
      <w:r>
        <w:rPr>
          <w:rFonts w:ascii="Aptos" w:hAnsi="Aptos"/>
          <w:b w:val="0"/>
          <w:i w:val="0"/>
          <w:color w:val="1A2334"/>
          <w:sz w:val="21"/>
        </w:rPr>
        <w:t>Labelling should therefore be tested as a pipeline. Each channel specifies which signal is transported, regenerated or visibly supplemented. If technical metadata is not retained, visible disclosure may remain necessary. If a label is cropped, the publication format needs adjustment.</w:t>
      </w:r>
    </w:p>
    <w:p>
      <w:pPr>
        <w:spacing w:after="140" w:line="283" w:lineRule="auto"/>
      </w:pPr>
      <w:r>
        <w:rPr>
          <w:rFonts w:ascii="Aptos" w:hAnsi="Aptos"/>
          <w:b w:val="0"/>
          <w:i w:val="0"/>
          <w:color w:val="1A2334"/>
          <w:sz w:val="21"/>
        </w:rPr>
        <w:t>Multilingual delivery belongs in the same test. A literal translation can sound legal yet remain unusable. Terminology, reading level, cultural expectations and local contact routes should be validated with real users.</w:t>
      </w:r>
    </w:p>
    <w:p>
      <w:pPr>
        <w:keepNext/>
        <w:spacing w:before="320" w:after="120"/>
      </w:pPr>
      <w:r>
        <w:rPr>
          <w:rFonts w:ascii="Georgia" w:hAnsi="Georgia"/>
          <w:b/>
          <w:i w:val="0"/>
          <w:color w:val="1A2334"/>
          <w:sz w:val="32"/>
        </w:rPr>
        <w:t>Internal transparency prevents misuse</w:t>
      </w:r>
    </w:p>
    <w:p>
      <w:pPr>
        <w:spacing w:after="140" w:line="283" w:lineRule="auto"/>
      </w:pPr>
      <w:r>
        <w:rPr>
          <w:rFonts w:ascii="Aptos" w:hAnsi="Aptos"/>
          <w:b w:val="0"/>
          <w:i w:val="0"/>
          <w:color w:val="1A2334"/>
          <w:sz w:val="21"/>
        </w:rPr>
        <w:t>Article 13 points in another direction: high-risk systems need sufficient transparency and instructions so deployers can interpret output and use the system appropriately. This includes capabilities, limitations, foreseeable risks, human oversight, maintenance and logs.</w:t>
      </w:r>
    </w:p>
    <w:p>
      <w:pPr>
        <w:spacing w:after="140" w:line="283" w:lineRule="auto"/>
      </w:pPr>
      <w:r>
        <w:rPr>
          <w:rFonts w:ascii="Aptos" w:hAnsi="Aptos"/>
          <w:b w:val="0"/>
          <w:i w:val="0"/>
          <w:color w:val="1A2334"/>
          <w:sz w:val="21"/>
        </w:rPr>
        <w:t>Such operational transparency prevents a precise-looking result from being mistaken for certainty. It connects system card, evaluation report, data provenance, known failure modes, active version, escalation rule and permission. Only then does information support controllable operation.</w:t>
      </w:r>
    </w:p>
    <w:p>
      <w:pPr>
        <w:keepNext/>
        <w:spacing w:before="320" w:after="120"/>
      </w:pPr>
      <w:r>
        <w:rPr>
          <w:rFonts w:ascii="Georgia" w:hAnsi="Georgia"/>
          <w:b/>
          <w:i w:val="0"/>
          <w:color w:val="1A2334"/>
          <w:sz w:val="32"/>
        </w:rPr>
        <w:t>Transparency debt grows quietly</w:t>
      </w:r>
    </w:p>
    <w:p>
      <w:pPr>
        <w:spacing w:after="140" w:line="283" w:lineRule="auto"/>
      </w:pPr>
      <w:r>
        <w:rPr>
          <w:rFonts w:ascii="Aptos" w:hAnsi="Aptos"/>
          <w:b w:val="0"/>
          <w:i w:val="0"/>
          <w:color w:val="1A2334"/>
          <w:sz w:val="21"/>
        </w:rPr>
        <w:t>A new model is integrated while the notice still describes the old function. Translation is added but the data-flow map remains unchanged. A social channel strips metadata without adding a visible label. Every mismatch creates transparency debt.</w:t>
      </w:r>
    </w:p>
    <w:p>
      <w:pPr>
        <w:spacing w:after="140" w:line="283" w:lineRule="auto"/>
      </w:pPr>
      <w:r>
        <w:rPr>
          <w:rFonts w:ascii="Aptos" w:hAnsi="Aptos"/>
          <w:b w:val="0"/>
          <w:i w:val="0"/>
          <w:color w:val="1A2334"/>
          <w:sz w:val="21"/>
        </w:rPr>
        <w:t>This debt can be measured through untested channels, outdated wording, missing languages, marker-loss rates, unreachable contact routes, open complaints and unresolved exceptions. It belongs in release gates and recurring reviews. A feature release is incomplete when its transparency interface was not updated.</w:t>
      </w:r>
    </w:p>
    <w:p>
      <w:pPr>
        <w:keepNext/>
        <w:spacing w:before="320" w:after="120"/>
      </w:pPr>
      <w:r>
        <w:rPr>
          <w:rFonts w:ascii="Georgia" w:hAnsi="Georgia"/>
          <w:b/>
          <w:i w:val="0"/>
          <w:color w:val="1A2334"/>
          <w:sz w:val="32"/>
        </w:rPr>
        <w:t>From obligation to a reliable relationship</w:t>
      </w:r>
    </w:p>
    <w:p>
      <w:pPr>
        <w:spacing w:after="140" w:line="283" w:lineRule="auto"/>
      </w:pPr>
      <w:r>
        <w:rPr>
          <w:rFonts w:ascii="Aptos" w:hAnsi="Aptos"/>
          <w:b w:val="0"/>
          <w:i w:val="0"/>
          <w:color w:val="1A2334"/>
          <w:sz w:val="21"/>
        </w:rPr>
        <w:t>Good transparency is more than compliance. It improves human-system collaboration. People share data more deliberately, interpret results appropriately and know when to request human review. Operators detect errors earlier. Accountable owners can show what information was available and when.</w:t>
      </w:r>
    </w:p>
    <w:p>
      <w:pPr>
        <w:spacing w:after="140" w:line="283" w:lineRule="auto"/>
      </w:pPr>
      <w:r>
        <w:rPr>
          <w:rFonts w:ascii="Aptos" w:hAnsi="Aptos"/>
          <w:b w:val="0"/>
          <w:i w:val="0"/>
          <w:color w:val="1A2334"/>
          <w:sz w:val="21"/>
        </w:rPr>
        <w:t>The goal is not maximum disclosure but appropriate agency. Trade secrets, security and privacy set boundaries. Yet “we cannot explain everything” does not justify withholding the essentials. The design challenge is a layered interface that makes decision-relevant information visible while keeping deeper evidence available to the right audience.</w:t>
      </w:r>
    </w:p>
    <w:p>
      <w:pPr>
        <w:keepNext/>
        <w:spacing w:before="320" w:after="120"/>
      </w:pPr>
      <w:r>
        <w:rPr>
          <w:rFonts w:ascii="Georgia" w:hAnsi="Georgia"/>
          <w:b/>
          <w:i w:val="0"/>
          <w:color w:val="1A2334"/>
          <w:sz w:val="32"/>
        </w:rPr>
        <w:t>Worksheet: Design a transparency interface</w:t>
      </w:r>
    </w:p>
    <w:p>
      <w:pPr>
        <w:spacing w:after="140" w:line="283" w:lineRule="auto"/>
      </w:pPr>
      <w:r>
        <w:rPr>
          <w:rFonts w:ascii="Aptos" w:hAnsi="Aptos"/>
          <w:b w:val="0"/>
          <w:i w:val="0"/>
          <w:color w:val="1A2334"/>
          <w:sz w:val="21"/>
        </w:rPr>
        <w:t>Choose one AI use case and one real delivery channel.</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audience, decision and potential harm.</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Decide which notice must appear before which action.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Describe purpose, AI contribution, limits and human role.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Specify visible and machine-readable provenance signals.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Map correction, human review and complaint routes.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Record provider, deployer and channel responsibilities.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Test accessibility, localisation and transformation loss.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logs, sampling, release gate and review triggers.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decision can your audience genuinely make better after today's notice? ______________________________</w:t>
      </w:r>
    </w:p>
    <w:p>
      <w:pPr>
        <w:spacing w:after="140" w:line="283" w:lineRule="auto"/>
      </w:pPr>
      <w:r>
        <w:rPr>
          <w:rFonts w:ascii="Aptos" w:hAnsi="Aptos"/>
          <w:b w:val="0"/>
          <w:i w:val="0"/>
          <w:color w:val="1A2334"/>
          <w:sz w:val="21"/>
        </w:rPr>
        <w:t>At which handoff does your content currently lose notice, context or provenance? 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50](https://ai-act-service-desk.ec.europa.eu/en/ai-act/article-50) – transparency duties for certain interactive and generative AI systems and for certain deployers of deepfakes and public-interest text.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13](https://ai-act-service-desk.ec.europa.eu/en/ai-act/article-13) – transparency requirements for high-risk AI systems so deployers can interpret outputs and use systems appropriately.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[European Commission: Final Code of Practice on Transparency of AI-Generated Content](https://digital-strategy.ec.europa.eu/en/policies/code-practice-ai-generated-content) – voluntary code supporting implementation of Article 50(2), (4) and (5), published on 10 June 2026.</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[Transparency Code FAQ](https://digital-strategy.ec.europa.eu/en/faqs/code-practice-transparency-ai-generated-content) – official explanation of scope, provider and deployer duties, and labelling.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[C2PA Technical Specification 2.4](https://spec.c2pa.org/specifications/specifications/2.4/specs/C2PA_Specification.html) – open technical standard for cryptographically verifiable provenance and edit history of digital content.</w:t>
      </w:r>
    </w:p>
    <w:p>
      <w:pPr>
        <w:spacing w:after="140" w:line="283" w:lineRule="auto"/>
      </w:pPr>
      <w:r>
        <w:rPr>
          <w:rFonts w:ascii="Aptos" w:hAnsi="Aptos"/>
          <w:b w:val="0"/>
          <w:i w:val="0"/>
          <w:color w:val="1A2334"/>
          <w:sz w:val="21"/>
        </w:rPr>
        <w:t>*Scope:* This article is professional design guidance, not legal advice. Article 50 transparency obligations apply from 2 August 2026; exceptions, roles, required content and technical feasibility need case-specific assessment. The Code is voluntary, and technical provenance alone proves neither truth nor complete legal compliance. Editorial review date: 17 July 2026.</w:t>
      </w:r>
    </w:p>
    <w:p>
      <w:r>
        <w:br w:type="page"/>
      </w:r>
    </w:p>
    <w:p>
      <w:pPr>
        <w:keepNext/>
        <w:spacing w:before="320" w:after="120"/>
      </w:pPr>
      <w:r>
        <w:rPr>
          <w:rFonts w:ascii="Georgia" w:hAnsi="Georgia"/>
          <w:b/>
          <w:i w:val="0"/>
          <w:color w:val="1A2334"/>
          <w:sz w:val="32"/>
        </w:rPr>
        <w:t>Working template: Transparency interface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Use case / audience / channel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Immediate notice / timing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Context / limits / effect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Origin / edits / markers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Human / correction / complaint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tests / audit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Change / monitoring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An AI notice alone does not create transparency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