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ARCHITECTURE &amp; SOVEREIGNTY</w:t>
      </w:r>
    </w:p>
    <w:p>
      <w:pPr>
        <w:spacing w:after="160" w:line="235" w:lineRule="auto"/>
      </w:pPr>
      <w:r>
        <w:rPr>
          <w:rFonts w:ascii="Fraunces" w:hAnsi="Fraunces" w:eastAsia="Fraunces"/>
          <w:b/>
          <w:i w:val="0"/>
          <w:color w:val="1A2334"/>
          <w:sz w:val="56"/>
        </w:rPr>
        <w:t>The hybrid AI architecture: The right model for the right step</w:t>
      </w:r>
    </w:p>
    <w:p>
      <w:pPr>
        <w:spacing w:after="340" w:line="293" w:lineRule="auto"/>
      </w:pPr>
      <w:r>
        <w:rPr>
          <w:rFonts w:ascii="Source Serif 4" w:hAnsi="Source Serif 4" w:eastAsia="Source Serif 4"/>
          <w:b w:val="0"/>
          <w:i/>
          <w:color w:val="637087"/>
          <w:sz w:val="26"/>
        </w:rPr>
        <w:t>Sovereignty does not come from running everything locally or everything in the cloud. It comes from deliberate routing, bounded hand-offs and dependable ways back.</w:t>
      </w:r>
    </w:p>
    <w:p>
      <w:pPr>
        <w:spacing w:after="420"/>
      </w:pPr>
      <w:r>
        <w:rPr>
          <w:rFonts w:ascii="IBM Plex Mono" w:hAnsi="IBM Plex Mono" w:eastAsia="IBM Plex Mono"/>
          <w:b w:val="0"/>
          <w:i w:val="0"/>
          <w:color w:val="4F7CFF"/>
          <w:sz w:val="17"/>
        </w:rPr>
        <w:t>15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The choice between local and cloud AI is often framed as a matter of belief. Local means control; cloud means capability. Real projects are less simple. Public research, confidential document analysis and automated approval have different requirements. A hybrid architecture does not assign a whole organisation to one place. It breaks work into steps and asks at each one: Which data is needed, which capability matters, what effect may occur—and how can the outcome be verified?</w:t>
            </w:r>
          </w:p>
        </w:tc>
      </w:tr>
    </w:tbl>
    <w:p>
      <w:pPr>
        <w:keepNext/>
        <w:spacing w:before="360" w:after="140"/>
      </w:pPr>
      <w:r>
        <w:rPr>
          <w:rFonts w:ascii="Fraunces" w:hAnsi="Fraunces" w:eastAsia="Fraunces"/>
          <w:b/>
          <w:i w:val="0"/>
          <w:color w:val="1A2334"/>
          <w:sz w:val="36"/>
        </w:rPr>
        <w:t>Hybrid is division of labour, not compromise</w:t>
      </w:r>
    </w:p>
    <w:p>
      <w:pPr>
        <w:spacing w:before="0" w:after="160" w:line="322" w:lineRule="auto"/>
      </w:pPr>
      <w:r>
        <w:rPr>
          <w:rFonts w:ascii="Source Serif 4" w:hAnsi="Source Serif 4" w:eastAsia="Source Serif 4"/>
          <w:b w:val="0"/>
          <w:i w:val="0"/>
          <w:color w:val="1A2334"/>
          <w:sz w:val="22"/>
        </w:rPr>
        <w:t>A weak hybrid setup distributes tasks randomly across tools. A strong architecture gives each execution environment a clear role. Sensitive preprocessing may stay close to the data, a capable model may work on sanitised material and an independent verification layer may check the outcome.</w:t>
      </w:r>
    </w:p>
    <w:p>
      <w:pPr>
        <w:spacing w:before="0" w:after="160" w:line="322" w:lineRule="auto"/>
      </w:pPr>
      <w:r>
        <w:rPr>
          <w:rFonts w:ascii="Source Serif 4" w:hAnsi="Source Serif 4" w:eastAsia="Source Serif 4"/>
          <w:b w:val="0"/>
          <w:i w:val="0"/>
          <w:color w:val="1A2334"/>
          <w:sz w:val="22"/>
        </w:rPr>
        <w:t>The benefit is not connecting the largest number of systems. It is separating responsibilities. Data custody, processing, generation, verification and approval need not happen in the same place, but their transitions must be visible and justified.</w:t>
      </w:r>
    </w:p>
    <w:p>
      <w:pPr>
        <w:spacing w:before="0" w:after="160" w:line="322" w:lineRule="auto"/>
      </w:pPr>
      <w:r>
        <w:rPr>
          <w:rFonts w:ascii="Source Serif 4" w:hAnsi="Source Serif 4" w:eastAsia="Source Serif 4"/>
          <w:b w:val="0"/>
          <w:i w:val="0"/>
          <w:color w:val="1A2334"/>
          <w:sz w:val="22"/>
        </w:rPr>
        <w:t>Hybrid design therefore assigns every step the environment warranted by its data, capabilities and consequences. Architecture follows the work rather than the convenience of one tool.</w:t>
      </w:r>
    </w:p>
    <w:p>
      <w:pPr>
        <w:keepNext/>
        <w:spacing w:before="360" w:after="140"/>
      </w:pPr>
      <w:r>
        <w:rPr>
          <w:rFonts w:ascii="Fraunces" w:hAnsi="Fraunces" w:eastAsia="Fraunces"/>
          <w:b/>
          <w:i w:val="0"/>
          <w:color w:val="1A2334"/>
          <w:sz w:val="36"/>
        </w:rPr>
        <w:t>Five criteria determine where work runs</w:t>
      </w:r>
    </w:p>
    <w:p>
      <w:pPr>
        <w:spacing w:before="0" w:after="160" w:line="322" w:lineRule="auto"/>
      </w:pPr>
      <w:r>
        <w:rPr>
          <w:rFonts w:ascii="Source Serif 4" w:hAnsi="Source Serif 4" w:eastAsia="Source Serif 4"/>
          <w:b w:val="0"/>
          <w:i w:val="0"/>
          <w:color w:val="1A2334"/>
          <w:sz w:val="22"/>
        </w:rPr>
        <w:t>The first is sensitivity. Which data does the step truly need, and may it leave the controlled area? The second is capability: Does the task require particular model quality, a large context window, images, tools or high speed?</w:t>
      </w:r>
    </w:p>
    <w:p>
      <w:pPr>
        <w:spacing w:before="0" w:after="160" w:line="322" w:lineRule="auto"/>
      </w:pPr>
      <w:r>
        <w:rPr>
          <w:rFonts w:ascii="Source Serif 4" w:hAnsi="Source Serif 4" w:eastAsia="Source Serif 4"/>
          <w:b w:val="0"/>
          <w:i w:val="0"/>
          <w:color w:val="1A2334"/>
          <w:sz w:val="22"/>
        </w:rPr>
        <w:t>Third is cost—not only price per request, but operation, maintenance, staff and verification load. Fourth is latency: Must the answer be immediate, can work be batched or can it run in the background? Fifth is verifiability. The harder an outcome is to check, the more tightly its effect should be bounded.</w:t>
      </w:r>
    </w:p>
    <w:p>
      <w:pPr>
        <w:spacing w:before="0" w:after="160" w:line="322" w:lineRule="auto"/>
      </w:pPr>
      <w:r>
        <w:rPr>
          <w:rFonts w:ascii="Source Serif 4" w:hAnsi="Source Serif 4" w:eastAsia="Source Serif 4"/>
          <w:b w:val="0"/>
          <w:i w:val="0"/>
          <w:color w:val="1A2334"/>
          <w:sz w:val="22"/>
        </w:rPr>
        <w:t>These criteria interact. A cheap model becomes expensive when every outcome requires repair. A powerful model is unsuitable when the required data cannot enter its environment. Routing is not a ranking of models; it is a mapping of requirements.</w:t>
      </w:r>
    </w:p>
    <w:p>
      <w:pPr>
        <w:keepNext/>
        <w:spacing w:before="360" w:after="140"/>
      </w:pPr>
      <w:r>
        <w:rPr>
          <w:rFonts w:ascii="Fraunces" w:hAnsi="Fraunces" w:eastAsia="Fraunces"/>
          <w:b/>
          <w:i w:val="0"/>
          <w:color w:val="1A2334"/>
          <w:sz w:val="36"/>
        </w:rPr>
        <w:t>Three zones make the architecture readable</w:t>
      </w:r>
    </w:p>
    <w:p>
      <w:pPr>
        <w:spacing w:before="0" w:after="160" w:line="322" w:lineRule="auto"/>
      </w:pPr>
      <w:r>
        <w:rPr>
          <w:rFonts w:ascii="Source Serif 4" w:hAnsi="Source Serif 4" w:eastAsia="Source Serif 4"/>
          <w:b w:val="0"/>
          <w:i w:val="0"/>
          <w:color w:val="1A2334"/>
          <w:sz w:val="22"/>
        </w:rPr>
        <w:t>The controlled zone handles highly sensitive information, identities, internal raw data or secrets. It reduces, anonymises, extracts and checks material before transfer. It may be local or otherwise tightly controlled; access and purpose limitation matter more than the label.</w:t>
      </w:r>
    </w:p>
    <w:p>
      <w:pPr>
        <w:spacing w:before="0" w:after="160" w:line="322" w:lineRule="auto"/>
      </w:pPr>
      <w:r>
        <w:rPr>
          <w:rFonts w:ascii="Source Serif 4" w:hAnsi="Source Serif 4" w:eastAsia="Source Serif 4"/>
          <w:b w:val="0"/>
          <w:i w:val="0"/>
          <w:color w:val="1A2334"/>
          <w:sz w:val="22"/>
        </w:rPr>
        <w:t>The protected work zone contains approved internal information. Models can create drafts, analyses and structured intermediates there while access, logging and retention remain defined. The open capability zone uses only public, synthetic or sufficiently sanitised material and can employ specialised capabilities flexibly.</w:t>
      </w:r>
    </w:p>
    <w:p>
      <w:pPr>
        <w:spacing w:before="0" w:after="160" w:line="322" w:lineRule="auto"/>
      </w:pPr>
      <w:r>
        <w:rPr>
          <w:rFonts w:ascii="Source Serif 4" w:hAnsi="Source Serif 4" w:eastAsia="Source Serif 4"/>
          <w:b w:val="0"/>
          <w:i w:val="0"/>
          <w:color w:val="1A2334"/>
          <w:sz w:val="22"/>
        </w:rPr>
        <w:t>A task may cross zones, but never as an invisible bulk transfer. Every hand-off names fields, removal steps, purpose and return path. Data minimisation becomes a technical interface, not merely a policy statement.</w:t>
      </w:r>
    </w:p>
    <w:p>
      <w:pPr>
        <w:keepNext/>
        <w:spacing w:before="360" w:after="140"/>
      </w:pPr>
      <w:r>
        <w:rPr>
          <w:rFonts w:ascii="Fraunces" w:hAnsi="Fraunces" w:eastAsia="Fraunces"/>
          <w:b/>
          <w:i w:val="0"/>
          <w:color w:val="1A2334"/>
          <w:sz w:val="36"/>
        </w:rPr>
        <w:t>The router needs rules, not intuition</w:t>
      </w:r>
    </w:p>
    <w:p>
      <w:pPr>
        <w:spacing w:before="0" w:after="160" w:line="322" w:lineRule="auto"/>
      </w:pPr>
      <w:r>
        <w:rPr>
          <w:rFonts w:ascii="Source Serif 4" w:hAnsi="Source Serif 4" w:eastAsia="Source Serif 4"/>
          <w:b w:val="0"/>
          <w:i w:val="0"/>
          <w:color w:val="1A2334"/>
          <w:sz w:val="22"/>
        </w:rPr>
        <w:t>A router may be a technical service, workflow or human-maintained decision table. Its role is the same: classify material, read requirements and choose an allowed execution path. It must not decide solely by model quality or availability.</w:t>
      </w:r>
    </w:p>
    <w:p>
      <w:pPr>
        <w:spacing w:before="0" w:after="160" w:line="322" w:lineRule="auto"/>
      </w:pPr>
      <w:r>
        <w:rPr>
          <w:rFonts w:ascii="Source Serif 4" w:hAnsi="Source Serif 4" w:eastAsia="Source Serif 4"/>
          <w:b w:val="0"/>
          <w:i w:val="0"/>
          <w:color w:val="1A2334"/>
          <w:sz w:val="22"/>
        </w:rPr>
        <w:t>Good routing rules are legible. If personal raw data is required, preprocessing stays in the controlled zone. If only a public sanitised excerpt is needed, generation may move to the open zone. If an outcome has external effect, independent review precedes approval.</w:t>
      </w:r>
    </w:p>
    <w:p>
      <w:pPr>
        <w:spacing w:before="0" w:after="160" w:line="322" w:lineRule="auto"/>
      </w:pPr>
      <w:r>
        <w:rPr>
          <w:rFonts w:ascii="Source Serif 4" w:hAnsi="Source Serif 4" w:eastAsia="Source Serif 4"/>
          <w:b w:val="0"/>
          <w:i w:val="0"/>
          <w:color w:val="1A2334"/>
          <w:sz w:val="22"/>
        </w:rPr>
        <w:t>Uncertainty is itself a routing condition. If sensitivity cannot be classified safely, the process chooses the tighter zone or stops. Automated routing is responsible only where its classification remains testable.</w:t>
      </w:r>
    </w:p>
    <w:p>
      <w:pPr>
        <w:keepNext/>
        <w:spacing w:before="360" w:after="140"/>
      </w:pPr>
      <w:r>
        <w:rPr>
          <w:rFonts w:ascii="Fraunces" w:hAnsi="Fraunces" w:eastAsia="Fraunces"/>
          <w:b/>
          <w:i w:val="0"/>
          <w:color w:val="1A2334"/>
          <w:sz w:val="36"/>
        </w:rPr>
        <w:t>Fallbacks make architecture resilient</w:t>
      </w:r>
    </w:p>
    <w:p>
      <w:pPr>
        <w:spacing w:before="0" w:after="160" w:line="322" w:lineRule="auto"/>
      </w:pPr>
      <w:r>
        <w:rPr>
          <w:rFonts w:ascii="Source Serif 4" w:hAnsi="Source Serif 4" w:eastAsia="Source Serif 4"/>
          <w:b w:val="0"/>
          <w:i w:val="0"/>
          <w:color w:val="1A2334"/>
          <w:sz w:val="22"/>
        </w:rPr>
        <w:t>A hybrid architecture cannot assume that every model and service is always available. Outages, capacity limits, cost changes and quality problems must be planned. A fallback is not simply the next model in a list.</w:t>
      </w:r>
    </w:p>
    <w:p>
      <w:pPr>
        <w:spacing w:before="0" w:after="160" w:line="322" w:lineRule="auto"/>
      </w:pPr>
      <w:r>
        <w:rPr>
          <w:rFonts w:ascii="Source Serif 4" w:hAnsi="Source Serif 4" w:eastAsia="Source Serif 4"/>
          <w:b w:val="0"/>
          <w:i w:val="0"/>
          <w:color w:val="1A2334"/>
          <w:sz w:val="22"/>
        </w:rPr>
        <w:t>The replacement path must preserve the same data and effect boundaries. If a powerful service is unavailable, the process might create a smaller local version, reduce scope, queue the work or deliberately stop. None should silently open another data zone.</w:t>
      </w:r>
    </w:p>
    <w:p>
      <w:pPr>
        <w:spacing w:before="0" w:after="160" w:line="322" w:lineRule="auto"/>
      </w:pPr>
      <w:r>
        <w:rPr>
          <w:rFonts w:ascii="Source Serif 4" w:hAnsi="Source Serif 4" w:eastAsia="Source Serif 4"/>
          <w:b w:val="0"/>
          <w:i w:val="0"/>
          <w:color w:val="1A2334"/>
          <w:sz w:val="22"/>
        </w:rPr>
        <w:t>Resilience also includes degraded modes. A system may temporarily classify rather than draft, produce drafts rather than publish or use approved sources only. Less function is often safer than uncontrolled substitution.</w:t>
      </w:r>
    </w:p>
    <w:p>
      <w:pPr>
        <w:keepNext/>
        <w:spacing w:before="360" w:after="140"/>
      </w:pPr>
      <w:r>
        <w:rPr>
          <w:rFonts w:ascii="Fraunces" w:hAnsi="Fraunces" w:eastAsia="Fraunces"/>
          <w:b/>
          <w:i w:val="0"/>
          <w:color w:val="1A2334"/>
          <w:sz w:val="36"/>
        </w:rPr>
        <w:t>Portability protects against hidden dependence</w:t>
      </w:r>
    </w:p>
    <w:p>
      <w:pPr>
        <w:spacing w:before="0" w:after="160" w:line="322" w:lineRule="auto"/>
      </w:pPr>
      <w:r>
        <w:rPr>
          <w:rFonts w:ascii="Source Serif 4" w:hAnsi="Source Serif 4" w:eastAsia="Source Serif 4"/>
          <w:b w:val="0"/>
          <w:i w:val="0"/>
          <w:color w:val="1A2334"/>
          <w:sz w:val="22"/>
        </w:rPr>
        <w:t>Lock-in begins before a contract. It grows when prompts, data formats, evaluation rules and workflows exist only inside one interface. Even a technically replaceable model then becomes difficult to exchange in practice.</w:t>
      </w:r>
    </w:p>
    <w:p>
      <w:pPr>
        <w:spacing w:before="0" w:after="160" w:line="322" w:lineRule="auto"/>
      </w:pPr>
      <w:r>
        <w:rPr>
          <w:rFonts w:ascii="Source Serif 4" w:hAnsi="Source Serif 4" w:eastAsia="Source Serif 4"/>
          <w:b w:val="0"/>
          <w:i w:val="0"/>
          <w:color w:val="1A2334"/>
          <w:sz w:val="22"/>
        </w:rPr>
        <w:t>Keep the core outside individual systems: task specification, context manifest, data classification, acceptance criteria, test cases and output schema. Adapters translate that core into each environment. When a model changes, the working contract remains and only the adapter changes.</w:t>
      </w:r>
    </w:p>
    <w:p>
      <w:pPr>
        <w:spacing w:before="0" w:after="160" w:line="322" w:lineRule="auto"/>
      </w:pPr>
      <w:r>
        <w:rPr>
          <w:rFonts w:ascii="Source Serif 4" w:hAnsi="Source Serif 4" w:eastAsia="Source Serif 4"/>
          <w:b w:val="0"/>
          <w:i w:val="0"/>
          <w:color w:val="1A2334"/>
          <w:sz w:val="22"/>
        </w:rPr>
        <w:t>Portability requires tests. Two models may interpret the same brief differently. A migration succeeds only when reference cases, safety boundaries and quality criteria pass again. Replaceability is a tested capability, not a claim.</w:t>
      </w:r>
    </w:p>
    <w:p>
      <w:pPr>
        <w:keepNext/>
        <w:spacing w:before="360" w:after="140"/>
      </w:pPr>
      <w:r>
        <w:rPr>
          <w:rFonts w:ascii="Fraunces" w:hAnsi="Fraunces" w:eastAsia="Fraunces"/>
          <w:b/>
          <w:i w:val="0"/>
          <w:color w:val="1A2334"/>
          <w:sz w:val="36"/>
        </w:rPr>
        <w:t>Observability connects the zones</w:t>
      </w:r>
    </w:p>
    <w:p>
      <w:pPr>
        <w:spacing w:before="0" w:after="160" w:line="322" w:lineRule="auto"/>
      </w:pPr>
      <w:r>
        <w:rPr>
          <w:rFonts w:ascii="Source Serif 4" w:hAnsi="Source Serif 4" w:eastAsia="Source Serif 4"/>
          <w:b w:val="0"/>
          <w:i w:val="0"/>
          <w:color w:val="1A2334"/>
          <w:sz w:val="22"/>
        </w:rPr>
        <w:t>Work spread across systems needs a common trace. Which data class was detected? Which path was chosen? What sanitisation occurred? Which model produced which intermediate? Which review led to approval? Without these answers, hybrid becomes opaque distribution.</w:t>
      </w:r>
    </w:p>
    <w:p>
      <w:pPr>
        <w:spacing w:before="0" w:after="160" w:line="322" w:lineRule="auto"/>
      </w:pPr>
      <w:r>
        <w:rPr>
          <w:rFonts w:ascii="Source Serif 4" w:hAnsi="Source Serif 4" w:eastAsia="Source Serif 4"/>
          <w:b w:val="0"/>
          <w:i w:val="0"/>
          <w:color w:val="1A2334"/>
          <w:sz w:val="22"/>
        </w:rPr>
        <w:t>The trace need not store every internal reasoning step. It should explain decisions and effects. Hand-offs, fallbacks, exceptions and human approvals are especially important because they show where the architecture carried responsibility.</w:t>
      </w:r>
    </w:p>
    <w:p>
      <w:pPr>
        <w:spacing w:before="0" w:after="160" w:line="322" w:lineRule="auto"/>
      </w:pPr>
      <w:r>
        <w:rPr>
          <w:rFonts w:ascii="Source Serif 4" w:hAnsi="Source Serif 4" w:eastAsia="Source Serif 4"/>
          <w:b w:val="0"/>
          <w:i w:val="0"/>
          <w:color w:val="1A2334"/>
          <w:sz w:val="22"/>
        </w:rPr>
        <w:t>Regular analysis improves routing. Which tasks enter expensive environments unnecessarily? Where is too much context transferred? Which local processing creates excessive rework? Architecture then develops from observed work rather than assumption.</w:t>
      </w:r>
    </w:p>
    <w:p>
      <w:pPr>
        <w:keepNext/>
        <w:spacing w:before="360" w:after="140"/>
      </w:pPr>
      <w:r>
        <w:rPr>
          <w:rFonts w:ascii="Fraunces" w:hAnsi="Fraunces" w:eastAsia="Fraunces"/>
          <w:b/>
          <w:i w:val="0"/>
          <w:color w:val="1A2334"/>
          <w:sz w:val="36"/>
        </w:rPr>
        <w:t>People design the boundary, not every execution</w:t>
      </w:r>
    </w:p>
    <w:p>
      <w:pPr>
        <w:spacing w:before="0" w:after="160" w:line="322" w:lineRule="auto"/>
      </w:pPr>
      <w:r>
        <w:rPr>
          <w:rFonts w:ascii="Source Serif 4" w:hAnsi="Source Serif 4" w:eastAsia="Source Serif 4"/>
          <w:b w:val="0"/>
          <w:i w:val="0"/>
          <w:color w:val="1A2334"/>
          <w:sz w:val="22"/>
        </w:rPr>
        <w:t>People should not approve every model selection. They define rules, inspect borderline cases and decide paths with high consequence. Good architecture moves human attention from routine choices to exceptions, changes and approvals.</w:t>
      </w:r>
    </w:p>
    <w:p>
      <w:pPr>
        <w:spacing w:before="0" w:after="160" w:line="322" w:lineRule="auto"/>
      </w:pPr>
      <w:r>
        <w:rPr>
          <w:rFonts w:ascii="Source Serif 4" w:hAnsi="Source Serif 4" w:eastAsia="Source Serif 4"/>
          <w:b w:val="0"/>
          <w:i w:val="0"/>
          <w:color w:val="1A2334"/>
          <w:sz w:val="22"/>
        </w:rPr>
        <w:t>Clear ownership is required: Who classifies data? Who may change routing rules? Who approves a new dependency? Who decides when quality falls? Without these roles, a technical router becomes an invisible governance authority.</w:t>
      </w:r>
    </w:p>
    <w:p>
      <w:pPr>
        <w:spacing w:before="0" w:after="160" w:line="322" w:lineRule="auto"/>
      </w:pPr>
      <w:r>
        <w:rPr>
          <w:rFonts w:ascii="Source Serif 4" w:hAnsi="Source Serif 4" w:eastAsia="Source Serif 4"/>
          <w:b w:val="0"/>
          <w:i w:val="0"/>
          <w:color w:val="1A2334"/>
          <w:sz w:val="22"/>
        </w:rPr>
        <w:t>A sovereign hybrid architecture is therefore neither local at any price nor connected without limits. It is the ability to distribute work deliberately, keep hand-offs small, verify outcomes and retain a safe route back.</w:t>
      </w:r>
    </w:p>
    <w:p>
      <w:pPr>
        <w:keepNext/>
        <w:spacing w:before="360" w:after="140"/>
      </w:pPr>
      <w:r>
        <w:rPr>
          <w:rFonts w:ascii="Fraunces" w:hAnsi="Fraunces" w:eastAsia="Fraunces"/>
          <w:b/>
          <w:i w:val="0"/>
          <w:color w:val="1A2334"/>
          <w:sz w:val="36"/>
        </w:rPr>
        <w:t>The routing card</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ROUTING CARD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**Work step and effect**</w:t>
            </w:r>
          </w:p>
          <w:p>
            <w:pPr>
              <w:spacing w:after="40"/>
            </w:pPr>
            <w:r>
              <w:rPr>
                <w:rFonts w:ascii="IBM Plex Mono" w:hAnsi="IBM Plex Mono" w:eastAsia="IBM Plex Mono"/>
                <w:b w:val="0"/>
                <w:i w:val="0"/>
                <w:color w:val="27334A"/>
                <w:sz w:val="17"/>
              </w:rPr>
              <w:t>What should be produced, and what consequence may it have?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**Data class**</w:t>
            </w:r>
          </w:p>
          <w:p>
            <w:pPr>
              <w:spacing w:after="40"/>
            </w:pPr>
            <w:r>
              <w:rPr>
                <w:rFonts w:ascii="IBM Plex Mono" w:hAnsi="IBM Plex Mono" w:eastAsia="IBM Plex Mono"/>
                <w:b w:val="0"/>
                <w:i w:val="0"/>
                <w:color w:val="27334A"/>
                <w:sz w:val="17"/>
              </w:rPr>
              <w:t>Public, internal, sensitive or specially controlled?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**Capability need**</w:t>
            </w:r>
          </w:p>
          <w:p>
            <w:pPr>
              <w:spacing w:after="40"/>
            </w:pPr>
            <w:r>
              <w:rPr>
                <w:rFonts w:ascii="IBM Plex Mono" w:hAnsi="IBM Plex Mono" w:eastAsia="IBM Plex Mono"/>
                <w:b w:val="0"/>
                <w:i w:val="0"/>
                <w:color w:val="27334A"/>
                <w:sz w:val="17"/>
              </w:rPr>
              <w:t>Which quality, modality, tools, speed and context volume are required?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**Zone and model role**</w:t>
            </w:r>
          </w:p>
          <w:p>
            <w:pPr>
              <w:spacing w:after="40"/>
            </w:pPr>
            <w:r>
              <w:rPr>
                <w:rFonts w:ascii="IBM Plex Mono" w:hAnsi="IBM Plex Mono" w:eastAsia="IBM Plex Mono"/>
                <w:b w:val="0"/>
                <w:i w:val="0"/>
                <w:color w:val="27334A"/>
                <w:sz w:val="17"/>
              </w:rPr>
              <w:t>Where are preprocessing, generation, verification and approval performed?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**Hand-off**</w:t>
            </w:r>
          </w:p>
          <w:p>
            <w:pPr>
              <w:spacing w:after="40"/>
            </w:pPr>
            <w:r>
              <w:rPr>
                <w:rFonts w:ascii="IBM Plex Mono" w:hAnsi="IBM Plex Mono" w:eastAsia="IBM Plex Mono"/>
                <w:b w:val="0"/>
                <w:i w:val="0"/>
                <w:color w:val="27334A"/>
                <w:sz w:val="17"/>
              </w:rPr>
              <w:t>Which fields leave a zone, and what is removed or replaced?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**Verification**</w:t>
            </w:r>
          </w:p>
          <w:p>
            <w:pPr>
              <w:spacing w:after="40"/>
            </w:pPr>
            <w:r>
              <w:rPr>
                <w:rFonts w:ascii="IBM Plex Mono" w:hAnsi="IBM Plex Mono" w:eastAsia="IBM Plex Mono"/>
                <w:b w:val="0"/>
                <w:i w:val="0"/>
                <w:color w:val="27334A"/>
                <w:sz w:val="17"/>
              </w:rPr>
              <w:t>How is the outcome checked before the next effect?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**Fallback**</w:t>
            </w:r>
          </w:p>
          <w:p>
            <w:pPr>
              <w:spacing w:after="40"/>
            </w:pPr>
            <w:r>
              <w:rPr>
                <w:rFonts w:ascii="IBM Plex Mono" w:hAnsi="IBM Plex Mono" w:eastAsia="IBM Plex Mono"/>
                <w:b w:val="0"/>
                <w:i w:val="0"/>
                <w:color w:val="27334A"/>
                <w:sz w:val="17"/>
              </w:rPr>
              <w:t>Which safe substitute or reduced mode applies during failure?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**Portability**</w:t>
            </w:r>
          </w:p>
          <w:p>
            <w:pPr>
              <w:spacing w:after="40"/>
            </w:pPr>
            <w:r>
              <w:rPr>
                <w:rFonts w:ascii="IBM Plex Mono" w:hAnsi="IBM Plex Mono" w:eastAsia="IBM Plex Mono"/>
                <w:b w:val="0"/>
                <w:i w:val="0"/>
                <w:color w:val="27334A"/>
                <w:sz w:val="17"/>
              </w:rPr>
              <w:t>Which standards, tests and adapters enable migration?</w:t>
            </w:r>
          </w:p>
        </w:tc>
      </w:tr>
    </w:tbl>
    <w:p>
      <w:pPr>
        <w:spacing w:before="240" w:after="280" w:line="322" w:lineRule="auto"/>
      </w:pPr>
      <w:r>
        <w:rPr>
          <w:rFonts w:ascii="Source Serif 4" w:hAnsi="Source Serif 4" w:eastAsia="Source Serif 4"/>
          <w:b w:val="0"/>
          <w:i w:val="0"/>
          <w:color w:val="1A2334"/>
          <w:sz w:val="22"/>
        </w:rPr>
        <w:t>The best hybrid architecture is not the most technically impressive. It is the one where every hand-off has a purpose, every model has a bounded role and migration remains possible without losing knowledge, safety or the ability to work.</w:t>
      </w:r>
    </w:p>
    <w:p>
      <w:r>
        <w:br w:type="page"/>
      </w:r>
    </w:p>
    <w:p>
      <w:pPr>
        <w:spacing w:after="140"/>
      </w:pPr>
      <w:r>
        <w:rPr>
          <w:rFonts w:ascii="Fraunces" w:hAnsi="Fraunces" w:eastAsia="Fraunces"/>
          <w:b/>
          <w:i w:val="0"/>
          <w:color w:val="1A2334"/>
          <w:sz w:val="50"/>
        </w:rPr>
        <w:t>Worksheet: Design a hybrid model path</w:t>
      </w:r>
    </w:p>
    <w:p>
      <w:pPr>
        <w:spacing w:before="0" w:after="280" w:line="322" w:lineRule="auto"/>
      </w:pPr>
      <w:r>
        <w:rPr>
          <w:rFonts w:ascii="Source Serif 4" w:hAnsi="Source Serif 4" w:eastAsia="Source Serif 4"/>
          <w:b w:val="0"/>
          <w:i w:val="0"/>
          <w:color w:val="1A2334"/>
          <w:sz w:val="22"/>
        </w:rPr>
        <w:t>Choose a real process with at least three working steps. Do not assign the whole project to one model; design a verifiable path.</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Separate steps and effects</w:t>
            </w:r>
          </w:p>
          <w:p>
            <w:pPr>
              <w:spacing w:line="300" w:lineRule="auto"/>
            </w:pPr>
            <w:r>
              <w:rPr>
                <w:rFonts w:ascii="Source Serif 4" w:hAnsi="Source Serif 4" w:eastAsia="Source Serif 4"/>
                <w:b w:val="0"/>
                <w:i w:val="0"/>
                <w:color w:val="354159"/>
                <w:sz w:val="21"/>
              </w:rPr>
              <w:t>Break the process into preprocessing, generation, verification and approval. Name the possible effect of each.</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Classify data and capabilities</w:t>
            </w:r>
          </w:p>
          <w:p>
            <w:pPr>
              <w:spacing w:line="300" w:lineRule="auto"/>
            </w:pPr>
            <w:r>
              <w:rPr>
                <w:rFonts w:ascii="Source Serif 4" w:hAnsi="Source Serif 4" w:eastAsia="Source Serif 4"/>
                <w:b w:val="0"/>
                <w:i w:val="0"/>
                <w:color w:val="354159"/>
                <w:sz w:val="21"/>
              </w:rPr>
              <w:t>Assign data class, required model capability, latency, cost and verifiability.</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Design zones and hand-offs</w:t>
            </w:r>
          </w:p>
          <w:p>
            <w:pPr>
              <w:spacing w:line="300" w:lineRule="auto"/>
            </w:pPr>
            <w:r>
              <w:rPr>
                <w:rFonts w:ascii="Source Serif 4" w:hAnsi="Source Serif 4" w:eastAsia="Source Serif 4"/>
                <w:b w:val="0"/>
                <w:i w:val="0"/>
                <w:color w:val="354159"/>
                <w:sz w:val="21"/>
              </w:rPr>
              <w:t>Choose a zone for every step. State exactly which information crosses a boundary and how it is reduced.</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Plan fallback and degradation</w:t>
            </w:r>
          </w:p>
          <w:p>
            <w:pPr>
              <w:spacing w:line="300" w:lineRule="auto"/>
            </w:pPr>
            <w:r>
              <w:rPr>
                <w:rFonts w:ascii="Source Serif 4" w:hAnsi="Source Serif 4" w:eastAsia="Source Serif 4"/>
                <w:b w:val="0"/>
                <w:i w:val="0"/>
                <w:color w:val="354159"/>
                <w:sz w:val="21"/>
              </w:rPr>
              <w:t>For two failures, define a safe substitute, reduced operating mode or deliberate stop.</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Test portability</w:t>
            </w:r>
          </w:p>
          <w:p>
            <w:pPr>
              <w:spacing w:line="300" w:lineRule="auto"/>
            </w:pPr>
            <w:r>
              <w:rPr>
                <w:rFonts w:ascii="Source Serif 4" w:hAnsi="Source Serif 4" w:eastAsia="Source Serif 4"/>
                <w:b w:val="0"/>
                <w:i w:val="0"/>
                <w:color w:val="354159"/>
                <w:sz w:val="21"/>
              </w:rPr>
              <w:t>Write three reference cases and the criteria an alternative model or new adapter must satisfy.</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hand-off where I previously transferred more data than necessary: 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safe fallback my process still lacks: 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