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line="283" w:lineRule="auto"/>
      </w:pPr>
      <w:r>
        <w:rPr>
          <w:rFonts w:ascii="Aptos" w:hAnsi="Aptos"/>
          <w:b/>
          <w:i w:val="0"/>
          <w:color w:val="4F7CFF"/>
          <w:sz w:val="18"/>
        </w:rPr>
        <w:t>FURKAN SAKIZLI  ·  AI DATA ENGINEERING</w:t>
      </w:r>
    </w:p>
    <w:p>
      <w:pPr>
        <w:spacing w:after="120" w:line="283" w:lineRule="auto"/>
      </w:pPr>
      <w:r>
        <w:rPr>
          <w:rFonts w:ascii="Aptos" w:hAnsi="Aptos"/>
          <w:b/>
          <w:i w:val="0"/>
          <w:color w:val="1A2334"/>
          <w:sz w:val="50"/>
        </w:rPr>
        <w:t>A gap in the graph is not yet knowledge</w:t>
      </w:r>
    </w:p>
    <w:p>
      <w:pPr>
        <w:spacing w:after="160" w:line="283" w:lineRule="auto"/>
      </w:pPr>
      <w:r>
        <w:rPr>
          <w:rFonts w:ascii="Aptos" w:hAnsi="Aptos"/>
          <w:b w:val="0"/>
          <w:i w:val="0"/>
          <w:color w:val="637087"/>
          <w:sz w:val="25"/>
        </w:rPr>
        <w:t>Why structural gaps generate valuable research questions but become defensible only through counter-testing, evidence and provenance.</w:t>
      </w:r>
    </w:p>
    <w:p>
      <w:pPr>
        <w:spacing w:after="280" w:line="283" w:lineRule="auto"/>
      </w:pPr>
      <w:r>
        <w:rPr>
          <w:rFonts w:ascii="Aptos" w:hAnsi="Aptos"/>
          <w:b/>
          <w:i w:val="0"/>
          <w:color w:val="4F7CFF"/>
          <w:sz w:val="17"/>
        </w:rPr>
        <w:t>ESSAY · AI DATA ENGINEERING · 17 MIN READ  ·  Furkan Sakızlı</w:t>
      </w:r>
    </w:p>
    <w:p>
      <w:pPr>
        <w:spacing w:after="280"/>
        <w:jc w:val="center"/>
      </w:pPr>
      <w:r>
        <w:drawing>
          <wp:inline xmlns:a="http://schemas.openxmlformats.org/drawingml/2006/main" xmlns:pic="http://schemas.openxmlformats.org/drawingml/2006/picture">
            <wp:extent cx="6126480" cy="3447977"/>
            <wp:docPr id="1" name="Picture 1" title="A gap in the graph is not yet knowledge" descr="Two delicate blue knowledge-graph communities float apart in a bright space; a dotted blue-and-amber candidate bridge crosses the empty structural gap while transparent evidence cards remain separate below for verification."/>
            <wp:cNvGraphicFramePr>
              <a:graphicFrameLocks noChangeAspect="1"/>
            </wp:cNvGraphicFramePr>
            <a:graphic>
              <a:graphicData uri="http://schemas.openxmlformats.org/drawingml/2006/picture">
                <pic:pic>
                  <pic:nvPicPr>
                    <pic:cNvPr id="0" name="titelbild.png"/>
                    <pic:cNvPicPr/>
                  </pic:nvPicPr>
                  <pic:blipFill>
                    <a:blip r:embed="rId11"/>
                    <a:stretch>
                      <a:fillRect/>
                    </a:stretch>
                  </pic:blipFill>
                  <pic:spPr>
                    <a:xfrm>
                      <a:off x="0" y="0"/>
                      <a:ext cx="6126480" cy="3447977"/>
                    </a:xfrm>
                    <a:prstGeom prst="rect"/>
                  </pic:spPr>
                </pic:pic>
              </a:graphicData>
            </a:graphic>
          </wp:inline>
        </w:drawing>
      </w:r>
    </w:p>
    <w:tbl>
      <w:tblPr>
        <w:tblW w:type="auto" w:w="0"/>
        <w:jc w:val="center"/>
        <w:tblLayout w:type="fixed"/>
        <w:tblLook w:firstColumn="1" w:firstRow="1" w:lastColumn="0" w:lastRow="0" w:noHBand="0" w:noVBand="1" w:val="04A0"/>
      </w:tblPr>
      <w:tblGrid>
        <w:gridCol w:w="9504"/>
      </w:tblGrid>
      <w:tr>
        <w:trPr>
          <w:cantSplit/>
        </w:trPr>
        <w:tc>
          <w:tcPr>
            <w:tcW w:type="dxa" w:w="9648"/>
            <w:shd w:fill="EEF1F7"/>
            <w:tcMar>
              <w:top w:w="180" w:type="dxa"/>
              <w:start w:w="220" w:type="dxa"/>
              <w:bottom w:w="180" w:type="dxa"/>
              <w:end w:w="220" w:type="dxa"/>
            </w:tcMar>
          </w:tcPr>
          <w:p>
            <w:pPr>
              <w:spacing w:line="276" w:lineRule="auto"/>
            </w:pPr>
            <w:r>
              <w:rPr>
                <w:rFonts w:ascii="Georgia" w:hAnsi="Georgia"/>
                <w:b w:val="0"/>
                <w:i/>
                <w:color w:val="1A2334"/>
                <w:sz w:val="24"/>
              </w:rPr>
              <w:t>A strong idea may exist between two dense topics. The same space may also contain a data error, poor segmentation or simply no defensible relationship.</w:t>
            </w:r>
          </w:p>
        </w:tc>
      </w:tr>
    </w:tbl>
    <w:p>
      <w:pPr>
        <w:spacing w:after="140" w:line="283" w:lineRule="auto"/>
      </w:pPr>
      <w:r>
        <w:rPr>
          <w:rFonts w:ascii="Aptos" w:hAnsi="Aptos"/>
          <w:b w:val="0"/>
          <w:i w:val="0"/>
          <w:color w:val="1A2334"/>
          <w:sz w:val="21"/>
        </w:rPr>
        <w:t>Graphs expose what ranked lists often hide: knowledge is unevenly distributed. Some concepts form dense communities, some bridge multiple topics, and conspicuous empty space remains between other groups. Structural gaps are compelling because they focus attention on concepts that the available material does not routinely connect.</w:t>
      </w:r>
    </w:p>
    <w:p>
      <w:pPr>
        <w:spacing w:after="140" w:line="283" w:lineRule="auto"/>
      </w:pPr>
      <w:r>
        <w:rPr>
          <w:rFonts w:ascii="Aptos" w:hAnsi="Aptos"/>
          <w:b w:val="0"/>
          <w:i w:val="0"/>
          <w:color w:val="1A2334"/>
          <w:sz w:val="21"/>
        </w:rPr>
        <w:t>The picture invites an immediate conclusion. If two clusters are separate, their connection must be novel, innovative or overlooked. That is precisely where method begins. A graph first represents the result of modelling choices: selected sources, normalised concepts, relationship rules and thresholds. The gap is therefore not proof. It is an invitation to formulate a precise, falsifiable question.</w:t>
      </w:r>
    </w:p>
    <w:p>
      <w:pPr>
        <w:keepNext/>
        <w:spacing w:before="320" w:after="120"/>
      </w:pPr>
      <w:r>
        <w:rPr>
          <w:rFonts w:ascii="Georgia" w:hAnsi="Georgia"/>
          <w:b/>
          <w:i w:val="0"/>
          <w:color w:val="1A2334"/>
          <w:sz w:val="32"/>
        </w:rPr>
        <w:t>A gap exists inside a model</w:t>
      </w:r>
    </w:p>
    <w:p>
      <w:pPr>
        <w:spacing w:after="140" w:line="283" w:lineRule="auto"/>
      </w:pPr>
      <w:r>
        <w:rPr>
          <w:rFonts w:ascii="Aptos" w:hAnsi="Aptos"/>
          <w:b w:val="0"/>
          <w:i w:val="0"/>
          <w:color w:val="1A2334"/>
          <w:sz w:val="21"/>
        </w:rPr>
        <w:t>A text network is constructed rather than discovered as a physical object. Words or entities become nodes; co-occurrences or extracted relations become edges. Stop-word lists, lemmatisation, synonym rules, window sizes and community algorithms alter the network. A spelling variant can split one concept across two nodes. A narrow co-occurrence window can erase a relation; a broad window can create associations that are only incidental.</w:t>
      </w:r>
    </w:p>
    <w:p>
      <w:pPr>
        <w:spacing w:after="140" w:line="283" w:lineRule="auto"/>
      </w:pPr>
      <w:r>
        <w:rPr>
          <w:rFonts w:ascii="Aptos" w:hAnsi="Aptos"/>
          <w:b w:val="0"/>
          <w:i w:val="0"/>
          <w:color w:val="1A2334"/>
          <w:sz w:val="21"/>
        </w:rPr>
        <w:t>Interpretation must begin with a model card recording corpus, time span, source types, language rules, node and edge definitions, weights, filters and algorithm versions. Without these details a visualisation may be impressive but methodologically weak. The first question is not “What does this gap mean?” but “Which decisions made it appear?”</w:t>
      </w:r>
    </w:p>
    <w:p>
      <w:pPr>
        <w:keepNext/>
        <w:spacing w:before="320" w:after="120"/>
      </w:pPr>
      <w:r>
        <w:rPr>
          <w:rFonts w:ascii="Georgia" w:hAnsi="Georgia"/>
          <w:b/>
          <w:i w:val="0"/>
          <w:color w:val="1A2334"/>
          <w:sz w:val="32"/>
        </w:rPr>
        <w:t>Structural gap, content gap and missing edge are different</w:t>
      </w:r>
    </w:p>
    <w:p>
      <w:pPr>
        <w:spacing w:after="140" w:line="283" w:lineRule="auto"/>
      </w:pPr>
      <w:r>
        <w:rPr>
          <w:rFonts w:ascii="Aptos" w:hAnsi="Aptos"/>
          <w:b w:val="0"/>
          <w:i w:val="0"/>
          <w:color w:val="1A2334"/>
          <w:sz w:val="21"/>
        </w:rPr>
        <w:t>The word gap has several meanings. A structural gap is a weak connection between network regions. A content gap is a topic or perspective underrepresented in the corpus. A missing edge is a specific absent relation. These cases must not be treated as interchangeable.</w:t>
      </w:r>
    </w:p>
    <w:p>
      <w:pPr>
        <w:spacing w:after="140" w:line="283" w:lineRule="auto"/>
      </w:pPr>
      <w:r>
        <w:rPr>
          <w:rFonts w:ascii="Aptos" w:hAnsi="Aptos"/>
          <w:b w:val="0"/>
          <w:i w:val="0"/>
          <w:color w:val="1A2334"/>
          <w:sz w:val="21"/>
        </w:rPr>
        <w:t>A content gap may reflect a genuine omission or merely biased sampling. A missing edge can indicate an unrecorded relationship or a correct absence. Structural distance may preserve useful separation between communities even when no direct relation should exist. Precise language prevents a graphical pattern from becoming an unsupported factual claim.</w:t>
      </w:r>
    </w:p>
    <w:p>
      <w:pPr>
        <w:keepNext/>
        <w:spacing w:before="320" w:after="120"/>
      </w:pPr>
      <w:r>
        <w:rPr>
          <w:rFonts w:ascii="Georgia" w:hAnsi="Georgia"/>
          <w:b/>
          <w:i w:val="0"/>
          <w:color w:val="1A2334"/>
          <w:sz w:val="32"/>
        </w:rPr>
        <w:t>Structural-holes theory is an analogy, not an automatic truth</w:t>
      </w:r>
    </w:p>
    <w:p>
      <w:pPr>
        <w:spacing w:after="140" w:line="283" w:lineRule="auto"/>
      </w:pPr>
      <w:r>
        <w:rPr>
          <w:rFonts w:ascii="Aptos" w:hAnsi="Aptos"/>
          <w:b w:val="0"/>
          <w:i w:val="0"/>
          <w:color w:val="1A2334"/>
          <w:sz w:val="21"/>
        </w:rPr>
        <w:t>Ronald Burt's work concerns social networks. People or organisations connecting otherwise separated groups can access varied information and act as brokers. It explains why crossing group boundaries may reveal alternative perspectives. Applied to knowledge graphs, this is a productive analogy: questions may exist between topics that do not emerge inside either cluster.</w:t>
      </w:r>
    </w:p>
    <w:p>
      <w:pPr>
        <w:spacing w:after="140" w:line="283" w:lineRule="auto"/>
      </w:pPr>
      <w:r>
        <w:rPr>
          <w:rFonts w:ascii="Aptos" w:hAnsi="Aptos"/>
          <w:b w:val="0"/>
          <w:i w:val="0"/>
          <w:color w:val="1A2334"/>
          <w:sz w:val="21"/>
        </w:rPr>
        <w:t>Yet a text graph is not a social network and a word edge is not a human tie. The transfer requires justification. Empty space does not show that a new theory is correct or an innovation will work. It only indicates that the modelled data rarely represents certain concepts together. Research begins when mechanisms, sources and counterexamples are examined.</w:t>
      </w:r>
    </w:p>
    <w:p>
      <w:pPr>
        <w:keepNext/>
        <w:spacing w:before="320" w:after="120"/>
      </w:pPr>
      <w:r>
        <w:rPr>
          <w:rFonts w:ascii="Georgia" w:hAnsi="Georgia"/>
          <w:b/>
          <w:i w:val="0"/>
          <w:color w:val="1A2334"/>
          <w:sz w:val="32"/>
        </w:rPr>
        <w:t>InfraNodus produces exploration signals</w:t>
      </w:r>
    </w:p>
    <w:p>
      <w:pPr>
        <w:spacing w:after="140" w:line="283" w:lineRule="auto"/>
      </w:pPr>
      <w:r>
        <w:rPr>
          <w:rFonts w:ascii="Aptos" w:hAnsi="Aptos"/>
          <w:b w:val="0"/>
          <w:i w:val="0"/>
          <w:color w:val="1A2334"/>
          <w:sz w:val="21"/>
        </w:rPr>
        <w:t>InfraNodus documents content-gap analysis as a workflow that visualises a knowledge graph, detects communities and examines weakly connected topic regions. Research questions or ideas can be generated from those regions. The methodological value is not a finished discovery but a structured redirection of attention.</w:t>
      </w:r>
    </w:p>
    <w:p>
      <w:pPr>
        <w:spacing w:after="140" w:line="283" w:lineRule="auto"/>
      </w:pPr>
      <w:r>
        <w:rPr>
          <w:rFonts w:ascii="Aptos" w:hAnsi="Aptos"/>
          <w:b w:val="0"/>
          <w:i w:val="0"/>
          <w:color w:val="1A2334"/>
          <w:sz w:val="21"/>
        </w:rPr>
        <w:t>A responsible system exposes the basis of every proposed bridge: communities, influential concepts, existing paths, source coverage and selection parameters. It distinguishes graph-derived signals from language-model wording and from combined results. A generated question proposes the next investigation; it is not the result of that investigation.</w:t>
      </w:r>
    </w:p>
    <w:p>
      <w:pPr>
        <w:keepNext/>
        <w:spacing w:before="320" w:after="120"/>
      </w:pPr>
      <w:r>
        <w:rPr>
          <w:rFonts w:ascii="Georgia" w:hAnsi="Georgia"/>
          <w:b/>
          <w:i w:val="0"/>
          <w:color w:val="1A2334"/>
          <w:sz w:val="32"/>
        </w:rPr>
        <w:t>Missing connections have at least six causes</w:t>
      </w:r>
    </w:p>
    <w:p>
      <w:pPr>
        <w:spacing w:after="140" w:line="283" w:lineRule="auto"/>
      </w:pPr>
      <w:r>
        <w:rPr>
          <w:rFonts w:ascii="Aptos" w:hAnsi="Aptos"/>
          <w:b w:val="0"/>
          <w:i w:val="0"/>
          <w:color w:val="1A2334"/>
          <w:sz w:val="21"/>
        </w:rPr>
        <w:t>A gap may be professionally real because two fields have rarely been studied together. It may result from missing sources. Different terminologies may describe the same concept. Parsing or chunking may have separated a relation. Filters may have removed rare but decisive terms. Finally, the selected period may hide a relationship that existed earlier or emerged later.</w:t>
      </w:r>
    </w:p>
    <w:p>
      <w:pPr>
        <w:spacing w:after="140" w:line="283" w:lineRule="auto"/>
      </w:pPr>
      <w:r>
        <w:rPr>
          <w:rFonts w:ascii="Aptos" w:hAnsi="Aptos"/>
          <w:b w:val="0"/>
          <w:i w:val="0"/>
          <w:color w:val="1A2334"/>
          <w:sz w:val="21"/>
        </w:rPr>
        <w:t>Each cause requires a different response. Terminology gaps call for entity resolution. Source gaps require targeted research. Temporal gaps require versioning or time-series analysis. A genuinely distant pair of fields needs a hypothesis and external evidence. A single “close gap” action would conceal these distinctions.</w:t>
      </w:r>
    </w:p>
    <w:p>
      <w:pPr>
        <w:keepNext/>
        <w:spacing w:before="320" w:after="120"/>
      </w:pPr>
      <w:r>
        <w:rPr>
          <w:rFonts w:ascii="Georgia" w:hAnsi="Georgia"/>
          <w:b/>
          <w:i w:val="0"/>
          <w:color w:val="1A2334"/>
          <w:sz w:val="32"/>
        </w:rPr>
        <w:t>Link prediction is a forecasting task</w:t>
      </w:r>
    </w:p>
    <w:p>
      <w:pPr>
        <w:spacing w:after="140" w:line="283" w:lineRule="auto"/>
      </w:pPr>
      <w:r>
        <w:rPr>
          <w:rFonts w:ascii="Aptos" w:hAnsi="Aptos"/>
          <w:b w:val="0"/>
          <w:i w:val="0"/>
          <w:color w:val="1A2334"/>
          <w:sz w:val="21"/>
        </w:rPr>
        <w:t>Graph data science treats link prediction as machine learning: a model learns from adjacent and non-adjacent node pairs which relationships might be probable. Topological techniques use signals such as common neighbours or same-community membership; trained pipelines can include node and edge features.</w:t>
      </w:r>
    </w:p>
    <w:p>
      <w:pPr>
        <w:spacing w:after="140" w:line="283" w:lineRule="auto"/>
      </w:pPr>
      <w:r>
        <w:rPr>
          <w:rFonts w:ascii="Aptos" w:hAnsi="Aptos"/>
          <w:b w:val="0"/>
          <w:i w:val="0"/>
          <w:color w:val="1A2334"/>
          <w:sz w:val="21"/>
        </w:rPr>
        <w:t>The result is a probability or ranking, not a fact. Negative examples are difficult because “not connected” in an incomplete graph often means only “not observed yet”. If these pairs are treated as true negatives, the model learns the dataset's omissions. A defensible pipeline records training graph, split strategy, feature version, metrics, calibration and threshold. Every suggested edge remains a candidate until verified.</w:t>
      </w:r>
    </w:p>
    <w:p>
      <w:pPr>
        <w:keepNext/>
        <w:spacing w:before="320" w:after="120"/>
      </w:pPr>
      <w:r>
        <w:rPr>
          <w:rFonts w:ascii="Georgia" w:hAnsi="Georgia"/>
          <w:b/>
          <w:i w:val="0"/>
          <w:color w:val="1A2334"/>
          <w:sz w:val="32"/>
        </w:rPr>
        <w:t>A counterexample is more valuable than an elegant bridge</w:t>
      </w:r>
    </w:p>
    <w:p>
      <w:pPr>
        <w:spacing w:after="140" w:line="283" w:lineRule="auto"/>
      </w:pPr>
      <w:r>
        <w:rPr>
          <w:rFonts w:ascii="Aptos" w:hAnsi="Aptos"/>
          <w:b w:val="0"/>
          <w:i w:val="0"/>
          <w:color w:val="1A2334"/>
          <w:sz w:val="21"/>
        </w:rPr>
        <w:t>Innovative hypotheses are persuasive because they connect familiar areas through a new narrative. They therefore need an active counter-path. For each proposed bridge, ask whether a synonym created the gap, whether sources explicitly reject the relation, whether it is limited to a region, period or population, and whether the graph confuses correlation with mechanism.</w:t>
      </w:r>
    </w:p>
    <w:p>
      <w:pPr>
        <w:spacing w:after="140" w:line="283" w:lineRule="auto"/>
      </w:pPr>
      <w:r>
        <w:rPr>
          <w:rFonts w:ascii="Aptos" w:hAnsi="Aptos"/>
          <w:b w:val="0"/>
          <w:i w:val="0"/>
          <w:color w:val="1A2334"/>
          <w:sz w:val="21"/>
        </w:rPr>
        <w:t>The strongest test does not retrieve only supporting passages. It searches for evidence that falsifies or narrows the candidate. A hypothesis that survives becomes stronger. A rejected hypothesis is also useful because it prevents an attractive visualisation from driving a false decision.</w:t>
      </w:r>
    </w:p>
    <w:p>
      <w:pPr>
        <w:keepNext/>
        <w:spacing w:before="320" w:after="120"/>
      </w:pPr>
      <w:r>
        <w:rPr>
          <w:rFonts w:ascii="Georgia" w:hAnsi="Georgia"/>
          <w:b/>
          <w:i w:val="0"/>
          <w:color w:val="1A2334"/>
          <w:sz w:val="32"/>
        </w:rPr>
        <w:t>GraphRAG can organise the investigation</w:t>
      </w:r>
    </w:p>
    <w:p>
      <w:pPr>
        <w:spacing w:after="140" w:line="283" w:lineRule="auto"/>
      </w:pPr>
      <w:r>
        <w:rPr>
          <w:rFonts w:ascii="Aptos" w:hAnsi="Aptos"/>
          <w:b w:val="0"/>
          <w:i w:val="0"/>
          <w:color w:val="1A2334"/>
          <w:sz w:val="21"/>
        </w:rPr>
        <w:t>GraphRAG separates local questions about specific entities from global questions over a corpus. DRIFT Search combines a global entry point with local follow-up. This is useful for gap verification: global search can establish dominant communities and narratives, while local search examines entities, relations and source passages around a candidate bridge.</w:t>
      </w:r>
    </w:p>
    <w:p>
      <w:pPr>
        <w:spacing w:after="140" w:line="283" w:lineRule="auto"/>
      </w:pPr>
      <w:r>
        <w:rPr>
          <w:rFonts w:ascii="Aptos" w:hAnsi="Aptos"/>
          <w:b w:val="0"/>
          <w:i w:val="0"/>
          <w:color w:val="1A2334"/>
          <w:sz w:val="21"/>
        </w:rPr>
        <w:t>The graph does not determine the answer. It structures the investigation. Raw text, passages and metadata remain the evidence layer. Community reports and automatically extracted relations are derived artefacts and must be labelled accordingly. The further a claim moves from a primary source, the more important provenance and uncertainty become.</w:t>
      </w:r>
    </w:p>
    <w:p>
      <w:pPr>
        <w:keepNext/>
        <w:spacing w:before="320" w:after="120"/>
      </w:pPr>
      <w:r>
        <w:rPr>
          <w:rFonts w:ascii="Georgia" w:hAnsi="Georgia"/>
          <w:b/>
          <w:i w:val="0"/>
          <w:color w:val="1A2334"/>
          <w:sz w:val="32"/>
        </w:rPr>
        <w:t>Provenance turns an idea into a testable claim</w:t>
      </w:r>
    </w:p>
    <w:p>
      <w:pPr>
        <w:spacing w:after="140" w:line="283" w:lineRule="auto"/>
      </w:pPr>
      <w:r>
        <w:rPr>
          <w:rFonts w:ascii="Aptos" w:hAnsi="Aptos"/>
          <w:b w:val="0"/>
          <w:i w:val="0"/>
          <w:color w:val="1A2334"/>
          <w:sz w:val="21"/>
        </w:rPr>
        <w:t>A candidate edge needs more than endpoints. It requires rationale, graph signals, supporting and conflicting sources, timestamp, model and prompt versions, reviewer and status. Useful states include proposed, researching, partially supported, rejected, confirmed and stale.</w:t>
      </w:r>
    </w:p>
    <w:p>
      <w:pPr>
        <w:spacing w:after="140" w:line="283" w:lineRule="auto"/>
      </w:pPr>
      <w:r>
        <w:rPr>
          <w:rFonts w:ascii="Aptos" w:hAnsi="Aptos"/>
          <w:b w:val="0"/>
          <w:i w:val="0"/>
          <w:color w:val="1A2334"/>
          <w:sz w:val="21"/>
        </w:rPr>
        <w:t>This separation protects the creative value of gap analysis. Ideas may remain speculative when their status is visible. Speculation becomes dangerous when it silently enters knowledge bases, recommendations or automated decisions. An evidence ledger makes every transition reviewable and reversible.</w:t>
      </w:r>
    </w:p>
    <w:p>
      <w:pPr>
        <w:keepNext/>
        <w:spacing w:before="320" w:after="120"/>
      </w:pPr>
      <w:r>
        <w:rPr>
          <w:rFonts w:ascii="Georgia" w:hAnsi="Georgia"/>
          <w:b/>
          <w:i w:val="0"/>
          <w:color w:val="1A2334"/>
          <w:sz w:val="32"/>
        </w:rPr>
        <w:t>Evaluation must measure more than predictive accuracy</w:t>
      </w:r>
    </w:p>
    <w:p>
      <w:pPr>
        <w:spacing w:after="140" w:line="283" w:lineRule="auto"/>
      </w:pPr>
      <w:r>
        <w:rPr>
          <w:rFonts w:ascii="Aptos" w:hAnsi="Aptos"/>
          <w:b w:val="0"/>
          <w:i w:val="0"/>
          <w:color w:val="1A2334"/>
          <w:sz w:val="21"/>
        </w:rPr>
        <w:t>Precision, recall and ranking metrics matter for link prediction, but knowledge work also asks whether proposed relations are professionally meaningful, novel, actionable and traceable. Results should be sliced by topic, language, time range and node type. A strong average may hide systematic failure in smaller communities.</w:t>
      </w:r>
    </w:p>
    <w:p>
      <w:pPr>
        <w:spacing w:after="140" w:line="283" w:lineRule="auto"/>
      </w:pPr>
      <w:r>
        <w:rPr>
          <w:rFonts w:ascii="Aptos" w:hAnsi="Aptos"/>
          <w:b w:val="0"/>
          <w:i w:val="0"/>
          <w:color w:val="1A2334"/>
          <w:sz w:val="21"/>
        </w:rPr>
        <w:t>A baseline is essential. Do graph proposals outperform common neighbours, semantic similarity or expert keyword search? How many candidates become defensible findings, and how much review work do they create? Only the relationship between information gain, false alarms and verification cost reveals whether the method is economically useful.</w:t>
      </w:r>
    </w:p>
    <w:p>
      <w:pPr>
        <w:keepNext/>
        <w:spacing w:before="320" w:after="120"/>
      </w:pPr>
      <w:r>
        <w:rPr>
          <w:rFonts w:ascii="Georgia" w:hAnsi="Georgia"/>
          <w:b/>
          <w:i w:val="0"/>
          <w:color w:val="1A2334"/>
          <w:sz w:val="32"/>
        </w:rPr>
        <w:t>Method: OBSERVE → EXPLAIN → CHALLENGE → RETRIEVE → VERIFY → STATUS</w:t>
      </w:r>
    </w:p>
    <w:p>
      <w:pPr>
        <w:spacing w:after="140" w:line="283" w:lineRule="auto"/>
      </w:pPr>
      <w:r>
        <w:rPr>
          <w:rFonts w:ascii="Aptos" w:hAnsi="Aptos"/>
          <w:b w:val="0"/>
          <w:i w:val="0"/>
          <w:color w:val="1A2334"/>
          <w:sz w:val="21"/>
        </w:rPr>
        <w:t>“OBSERVE” describes the visible gap without interpreting it. “EXPLAIN” lists technical and professional causes. “CHALLENGE” states counter-hypotheses and failure conditions. “RETRIEVE” collects supporting and conflicting evidence. “VERIFY” assesses sources, mechanism and scope. “STATUS” records the outcome in the evidence ledger.</w:t>
      </w:r>
    </w:p>
    <w:p>
      <w:pPr>
        <w:spacing w:after="140" w:line="283" w:lineRule="auto"/>
      </w:pPr>
      <w:r>
        <w:rPr>
          <w:rFonts w:ascii="Aptos" w:hAnsi="Aptos"/>
          <w:b w:val="0"/>
          <w:i w:val="0"/>
          <w:color w:val="1A2334"/>
          <w:sz w:val="21"/>
        </w:rPr>
        <w:t>The method preserves both the creative power of structural gaps and the discipline of defensible data work. A graph may ask questions hidden by linear reading. It must earn answers through evidence.</w:t>
      </w:r>
    </w:p>
    <w:p>
      <w:pPr>
        <w:keepNext/>
        <w:spacing w:before="320" w:after="120"/>
      </w:pPr>
      <w:r>
        <w:rPr>
          <w:rFonts w:ascii="Georgia" w:hAnsi="Georgia"/>
          <w:b/>
          <w:i w:val="0"/>
          <w:color w:val="1A2334"/>
          <w:sz w:val="32"/>
        </w:rPr>
        <w:t>Exercise: build a Structural Gap Evidence Ledger</w:t>
      </w:r>
    </w:p>
    <w:p>
      <w:pPr>
        <w:spacing w:after="140" w:line="283" w:lineRule="auto"/>
      </w:pPr>
      <w:r>
        <w:rPr>
          <w:rFonts w:ascii="Aptos" w:hAnsi="Aptos"/>
          <w:b w:val="0"/>
          <w:i w:val="0"/>
          <w:color w:val="1A2334"/>
          <w:sz w:val="21"/>
        </w:rPr>
        <w:t>Select one conspicuous gap between two communities. Describe it neutrally. Record three alternative causes, including at least one data or modelling failure. Formulate a candidate bridge and a counter-hypothesis. Retrieve two supporting and two conflicting passages. Only then assign a status and state which further evidence could change it.</w:t>
      </w:r>
    </w:p>
    <w:p>
      <w:pPr>
        <w:keepNext/>
        <w:spacing w:before="320" w:after="120"/>
      </w:pPr>
      <w:r>
        <w:rPr>
          <w:rFonts w:ascii="Georgia" w:hAnsi="Georgia"/>
          <w:b/>
          <w:i w:val="0"/>
          <w:color w:val="1A2334"/>
          <w:sz w:val="32"/>
        </w:rPr>
        <w:t>Sources and professional scope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[InfraNodus: Content Gap Analysis](https://infranodus.com/docs/content-gap-analysis) – documented workflow using knowledge graphs, communities and weakly connected topic regions.</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[InfraNodus: Network Analysis](https://infranodus.com/docs/network-analysis) – network metrics, clusters and structural gaps as analytical instruments.</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[InfraNodus: Structural Gaps FAQ](https://infranodus.com/docs/faq) – explanation of gap signals and calculation logic.</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[Burt: Structural Holes and Good Ideas](https://www.bebr.ufl.edu/sites/default/files/Burt%20-%202004%20-%20Structural%20Holes%20and%20Good%20Ideas.pdf) – research on brokerage and information advantages across groups.</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[Neo4j GDS: Link Prediction Pipelines](https://www.neo4j.com/docs/graph-data-science/current/machine-learning/linkprediction-pipelines/link-prediction/) – link prediction as a trainable forecasting task.</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[Microsoft GraphRAG: Query Overview](https://microsoft.github.io/graphrag/query/overview/) – Local, Global, DRIFT and other query modes.</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[Microsoft GraphRAG: DRIFT Search](https://microsoft.github.io/graphrag/query/drift_search/) – combining global orientation with local follow-up questions.</w:t>
      </w:r>
    </w:p>
    <w:p>
      <w:pPr>
        <w:spacing w:after="140" w:line="283" w:lineRule="auto"/>
      </w:pPr>
      <w:r>
        <w:rPr>
          <w:rFonts w:ascii="Aptos" w:hAnsi="Aptos"/>
          <w:b w:val="0"/>
          <w:i w:val="0"/>
          <w:color w:val="1A2334"/>
          <w:sz w:val="21"/>
        </w:rPr>
        <w:t>*Scope:* Structural gaps, link-prediction scores and generated bridges are hypothesis and search signals. They do not replace primary evidence or professional review. Editorial review date: 17 July 2026.</w:t>
      </w:r>
    </w:p>
    <w:p>
      <w:r>
        <w:br w:type="page"/>
      </w:r>
    </w:p>
    <w:p>
      <w:pPr>
        <w:keepNext/>
        <w:spacing w:before="320" w:after="120"/>
      </w:pPr>
      <w:r>
        <w:rPr>
          <w:rFonts w:ascii="Georgia" w:hAnsi="Georgia"/>
          <w:b/>
          <w:i w:val="0"/>
          <w:color w:val="1A2334"/>
          <w:sz w:val="32"/>
        </w:rPr>
        <w:t>Working template: Structural Gap Evidence Ledger</w:t>
      </w:r>
    </w:p>
    <w:tbl>
      <w:tblPr>
        <w:tblW w:type="auto" w:w="0"/>
        <w:jc w:val="center"/>
        <w:tblLayout w:type="fixed"/>
        <w:tblLook w:firstColumn="1" w:firstRow="1" w:lastColumn="0" w:lastRow="0" w:noHBand="0" w:noVBand="1" w:val="04A0"/>
      </w:tblPr>
      <w:tblGrid>
        <w:gridCol w:w="3384"/>
        <w:gridCol w:w="6120"/>
      </w:tblGrid>
      <w:tr>
        <w:trPr>
          <w:cantSplit/>
        </w:trPr>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Field</w:t>
            </w:r>
          </w:p>
        </w:tc>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Entry</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Graph / version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Observed gap</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Alternative causes</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Candidate bridge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Counter-hypothesis</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Supporting / conflicting evidence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Status / next test</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bl>
    <w:sectPr w:rsidR="00FC693F" w:rsidRPr="0006063C" w:rsidSect="00034616">
      <w:headerReference w:type="default" r:id="rId9"/>
      <w:footerReference w:type="default" r:id="rId10"/>
      <w:pgSz w:w="12240" w:h="15840"/>
      <w:pgMar w:top="1123" w:right="1296" w:bottom="1123"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b w:val="0"/>
        <w:i w:val="0"/>
        <w:color w:val="637087"/>
        <w:sz w:val="16"/>
      </w:rPr>
      <w:t>A gap in the graph is not yet knowledge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i w:val="0"/>
        <w:color w:val="637087"/>
        <w:sz w:val="17"/>
      </w:rPr>
      <w:t>FURKAN SAKIZLI  ·  AI DATA ENGINEERING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