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Do not find the needle—find its most probable location</w:t>
      </w:r>
    </w:p>
    <w:p>
      <w:pPr>
        <w:spacing w:after="160" w:line="283" w:lineRule="auto"/>
      </w:pPr>
      <w:r>
        <w:rPr>
          <w:rFonts w:ascii="Aptos" w:hAnsi="Aptos"/>
          <w:b w:val="0"/>
          <w:i w:val="0"/>
          <w:color w:val="637087"/>
          <w:sz w:val="25"/>
        </w:rPr>
        <w:t>How text networks, communities, bridge nodes and GraphRAG structure the search space before individual evidence is retrieved.</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Do not find the needle—find its most probable location" descr="A bright knowledge graph of several blue communities is narrowed by a translucent focus volume around a probable local neighbourhood; documents feed the graph and evidence cards emerge on the righ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Good search need not hit one perfect sentence immediately. It can first identify the region of knowledge where a defensible answer is likely to exist.</w:t>
            </w:r>
          </w:p>
        </w:tc>
      </w:tr>
    </w:tbl>
    <w:p>
      <w:pPr>
        <w:spacing w:after="140" w:line="283" w:lineRule="auto"/>
      </w:pPr>
      <w:r>
        <w:rPr>
          <w:rFonts w:ascii="Aptos" w:hAnsi="Aptos"/>
          <w:b w:val="0"/>
          <w:i w:val="0"/>
          <w:color w:val="1A2334"/>
          <w:sz w:val="21"/>
        </w:rPr>
        <w:t>The needle-in-a-haystack metaphor assumes that one recognisable needle is hidden among irrelevant straw. Knowledge work is harder. We often know neither the wording of the evidence nor whether it appears in one document. An answer may emerge from relations among a concept, project, person, decision and later exception.</w:t>
      </w:r>
    </w:p>
    <w:p>
      <w:pPr>
        <w:spacing w:after="140" w:line="283" w:lineRule="auto"/>
      </w:pPr>
      <w:r>
        <w:rPr>
          <w:rFonts w:ascii="Aptos" w:hAnsi="Aptos"/>
          <w:b w:val="0"/>
          <w:i w:val="0"/>
          <w:color w:val="1A2334"/>
          <w:sz w:val="21"/>
        </w:rPr>
        <w:t>Vector search treats content as points in similarity space. Graphs add another view: objects and their relations. Retrieval can first identify a probable region—a community, neighbourhood or path—and only then retrieve concrete source passages.</w:t>
      </w:r>
    </w:p>
    <w:p>
      <w:pPr>
        <w:keepNext/>
        <w:spacing w:before="320" w:after="120"/>
      </w:pPr>
      <w:r>
        <w:rPr>
          <w:rFonts w:ascii="Georgia" w:hAnsi="Georgia"/>
          <w:b/>
          <w:i w:val="0"/>
          <w:color w:val="1A2334"/>
          <w:sz w:val="32"/>
        </w:rPr>
        <w:t>A graph is a decision about meaning</w:t>
      </w:r>
    </w:p>
    <w:p>
      <w:pPr>
        <w:spacing w:after="140" w:line="283" w:lineRule="auto"/>
      </w:pPr>
      <w:r>
        <w:rPr>
          <w:rFonts w:ascii="Aptos" w:hAnsi="Aptos"/>
          <w:b w:val="0"/>
          <w:i w:val="0"/>
          <w:color w:val="1A2334"/>
          <w:sz w:val="21"/>
        </w:rPr>
        <w:t>A graph contains nodes and edges. Nodes may represent words, entities, documents, events, rules or data objects. Edges may express co-occurrence, citation, membership, cause, temporal order or a professionally defined relation.</w:t>
      </w:r>
    </w:p>
    <w:p>
      <w:pPr>
        <w:spacing w:after="140" w:line="283" w:lineRule="auto"/>
      </w:pPr>
      <w:r>
        <w:rPr>
          <w:rFonts w:ascii="Aptos" w:hAnsi="Aptos"/>
          <w:b w:val="0"/>
          <w:i w:val="0"/>
          <w:color w:val="1A2334"/>
          <w:sz w:val="21"/>
        </w:rPr>
        <w:t>The choice is not neutral. A text network connecting neighbouring words answers different questions from a knowledge graph with typed entities and relations. Co-occurrence reveals discourse structure; it does not prove causality. An edge between “risk” and “control” initially says only that both occur together within the chosen window.</w:t>
      </w:r>
    </w:p>
    <w:p>
      <w:pPr>
        <w:spacing w:after="140" w:line="283" w:lineRule="auto"/>
      </w:pPr>
      <w:r>
        <w:rPr>
          <w:rFonts w:ascii="Aptos" w:hAnsi="Aptos"/>
          <w:b w:val="0"/>
          <w:i w:val="0"/>
          <w:color w:val="1A2334"/>
          <w:sz w:val="21"/>
        </w:rPr>
        <w:t>Edges may be directed, weighted and linked to provenance. Without provenance, a relation becomes an unsupported claim. A production graph therefore links every entity and relation back to a passage, document version and extraction run.</w:t>
      </w:r>
    </w:p>
    <w:p>
      <w:pPr>
        <w:keepNext/>
        <w:spacing w:before="320" w:after="120"/>
      </w:pPr>
      <w:r>
        <w:rPr>
          <w:rFonts w:ascii="Georgia" w:hAnsi="Georgia"/>
          <w:b/>
          <w:i w:val="0"/>
          <w:color w:val="1A2334"/>
          <w:sz w:val="32"/>
        </w:rPr>
        <w:t>Text networks reveal discourse structure</w:t>
      </w:r>
    </w:p>
    <w:p>
      <w:pPr>
        <w:spacing w:after="140" w:line="283" w:lineRule="auto"/>
      </w:pPr>
      <w:r>
        <w:rPr>
          <w:rFonts w:ascii="Aptos" w:hAnsi="Aptos"/>
          <w:b w:val="0"/>
          <w:i w:val="0"/>
          <w:color w:val="1A2334"/>
          <w:sz w:val="21"/>
        </w:rPr>
        <w:t>InfraNodus represents text as a network in its documented methodology: words become nodes and co-occurrence creates connections. Network metrics and community detection expose influential terms, thematic clusters and relations. This is useful when a corpus must first be explored.</w:t>
      </w:r>
    </w:p>
    <w:p>
      <w:pPr>
        <w:spacing w:after="140" w:line="283" w:lineRule="auto"/>
      </w:pPr>
      <w:r>
        <w:rPr>
          <w:rFonts w:ascii="Aptos" w:hAnsi="Aptos"/>
          <w:b w:val="0"/>
          <w:i w:val="0"/>
          <w:color w:val="1A2334"/>
          <w:sz w:val="21"/>
        </w:rPr>
        <w:t>The visualisation is not finished truth. Frequent words may dominate because of style or document length. Stopword rules, lemmatisation, language, co-occurrence window and filters change the graph. Analyses of the same text may differ when those parameters change.</w:t>
      </w:r>
    </w:p>
    <w:p>
      <w:pPr>
        <w:spacing w:after="140" w:line="283" w:lineRule="auto"/>
      </w:pPr>
      <w:r>
        <w:rPr>
          <w:rFonts w:ascii="Aptos" w:hAnsi="Aptos"/>
          <w:b w:val="0"/>
          <w:i w:val="0"/>
          <w:color w:val="1A2334"/>
          <w:sz w:val="21"/>
        </w:rPr>
        <w:t>Every analysis therefore needs reproducible configuration: imported sources, removed or merged terms, version and time span. Only then can a visible community be interpreted professionally.</w:t>
      </w:r>
    </w:p>
    <w:p>
      <w:pPr>
        <w:keepNext/>
        <w:spacing w:before="320" w:after="120"/>
      </w:pPr>
      <w:r>
        <w:rPr>
          <w:rFonts w:ascii="Georgia" w:hAnsi="Georgia"/>
          <w:b/>
          <w:i w:val="0"/>
          <w:color w:val="1A2334"/>
          <w:sz w:val="32"/>
        </w:rPr>
        <w:t>Centrality shows attention, not automatic relevance</w:t>
      </w:r>
    </w:p>
    <w:p>
      <w:pPr>
        <w:spacing w:after="140" w:line="283" w:lineRule="auto"/>
      </w:pPr>
      <w:r>
        <w:rPr>
          <w:rFonts w:ascii="Aptos" w:hAnsi="Aptos"/>
          <w:b w:val="0"/>
          <w:i w:val="0"/>
          <w:color w:val="1A2334"/>
          <w:sz w:val="21"/>
        </w:rPr>
        <w:t>Centrality metrics describe different roles. Degree centrality counts direct connections. Betweenness centrality highlights nodes lying on many shortest paths and potentially bridging communities. Other methods weight important neighbours or edge direction.</w:t>
      </w:r>
    </w:p>
    <w:p>
      <w:pPr>
        <w:spacing w:after="140" w:line="283" w:lineRule="auto"/>
      </w:pPr>
      <w:r>
        <w:rPr>
          <w:rFonts w:ascii="Aptos" w:hAnsi="Aptos"/>
          <w:b w:val="0"/>
          <w:i w:val="0"/>
          <w:color w:val="1A2334"/>
          <w:sz w:val="21"/>
        </w:rPr>
        <w:t>A central node is not necessarily the answer. It may be a generic term used everywhere. In retrieval, centrality is one prioritisation signal beside query relevance, source quality, freshness and permission.</w:t>
      </w:r>
    </w:p>
    <w:p>
      <w:pPr>
        <w:spacing w:after="140" w:line="283" w:lineRule="auto"/>
      </w:pPr>
      <w:r>
        <w:rPr>
          <w:rFonts w:ascii="Aptos" w:hAnsi="Aptos"/>
          <w:b w:val="0"/>
          <w:i w:val="0"/>
          <w:color w:val="1A2334"/>
          <w:sz w:val="21"/>
        </w:rPr>
        <w:t>Bridge nodes are often valuable because they connect otherwise separated themes. A search for side effects of a decision may move through a bridge from product strategy to support incidents. The bridge suggests a path; underlying documents must still prove it.</w:t>
      </w:r>
    </w:p>
    <w:p>
      <w:pPr>
        <w:keepNext/>
        <w:spacing w:before="320" w:after="120"/>
      </w:pPr>
      <w:r>
        <w:rPr>
          <w:rFonts w:ascii="Georgia" w:hAnsi="Georgia"/>
          <w:b/>
          <w:i w:val="0"/>
          <w:color w:val="1A2334"/>
          <w:sz w:val="32"/>
        </w:rPr>
        <w:t>Communities limit the probable search region</w:t>
      </w:r>
    </w:p>
    <w:p>
      <w:pPr>
        <w:spacing w:after="140" w:line="283" w:lineRule="auto"/>
      </w:pPr>
      <w:r>
        <w:rPr>
          <w:rFonts w:ascii="Aptos" w:hAnsi="Aptos"/>
          <w:b w:val="0"/>
          <w:i w:val="0"/>
          <w:color w:val="1A2334"/>
          <w:sz w:val="21"/>
        </w:rPr>
        <w:t>Community detection groups nodes more densely connected to one another than to the rest of the network. In a corpus, groups may represent topics, projects, actors or recurring arguments.</w:t>
      </w:r>
    </w:p>
    <w:p>
      <w:pPr>
        <w:spacing w:after="140" w:line="283" w:lineRule="auto"/>
      </w:pPr>
      <w:r>
        <w:rPr>
          <w:rFonts w:ascii="Aptos" w:hAnsi="Aptos"/>
          <w:b w:val="0"/>
          <w:i w:val="0"/>
          <w:color w:val="1A2334"/>
          <w:sz w:val="21"/>
        </w:rPr>
        <w:t>Retrieval can become a two-stage process. First identify the community matching the query; then search its entities, relations and source passages. This narrows the space without pretending that the first graph hit is the answer.</w:t>
      </w:r>
    </w:p>
    <w:p>
      <w:pPr>
        <w:spacing w:after="140" w:line="283" w:lineRule="auto"/>
      </w:pPr>
      <w:r>
        <w:rPr>
          <w:rFonts w:ascii="Aptos" w:hAnsi="Aptos"/>
          <w:b w:val="0"/>
          <w:i w:val="0"/>
          <w:color w:val="1A2334"/>
          <w:sz w:val="21"/>
        </w:rPr>
        <w:t>Boundaries depend on algorithm, resolution and graph construction. A topic may appear as one large group at coarse resolution and several subtopics at fine resolution. Systems should store algorithm, parameters and graph version with results.</w:t>
      </w:r>
    </w:p>
    <w:p>
      <w:pPr>
        <w:keepNext/>
        <w:spacing w:before="320" w:after="120"/>
      </w:pPr>
      <w:r>
        <w:rPr>
          <w:rFonts w:ascii="Georgia" w:hAnsi="Georgia"/>
          <w:b/>
          <w:i w:val="0"/>
          <w:color w:val="1A2334"/>
          <w:sz w:val="32"/>
        </w:rPr>
        <w:t>Structural gaps are hypothesis spaces</w:t>
      </w:r>
    </w:p>
    <w:p>
      <w:pPr>
        <w:spacing w:after="140" w:line="283" w:lineRule="auto"/>
      </w:pPr>
      <w:r>
        <w:rPr>
          <w:rFonts w:ascii="Aptos" w:hAnsi="Aptos"/>
          <w:b w:val="0"/>
          <w:i w:val="0"/>
          <w:color w:val="1A2334"/>
          <w:sz w:val="21"/>
        </w:rPr>
        <w:t>A structural gap appears where two relevant regions are weakly connected. In ideation it may suggest an underexplored combination; in quality work it may reveal a missing relation.</w:t>
      </w:r>
    </w:p>
    <w:p>
      <w:pPr>
        <w:spacing w:after="140" w:line="283" w:lineRule="auto"/>
      </w:pPr>
      <w:r>
        <w:rPr>
          <w:rFonts w:ascii="Aptos" w:hAnsi="Aptos"/>
          <w:b w:val="0"/>
          <w:i w:val="0"/>
          <w:color w:val="1A2334"/>
          <w:sz w:val="21"/>
        </w:rPr>
        <w:t>A gap is not a discovery or automatic innovation. Terms may be written differently, a source may be absent, segmentation may have broken a relation, or no professional connection may exist. InfraNodus presents gaps as exploration prompts; responsible use treats them as hypotheses requiring evidence.</w:t>
      </w:r>
    </w:p>
    <w:p>
      <w:pPr>
        <w:spacing w:after="140" w:line="283" w:lineRule="auto"/>
      </w:pPr>
      <w:r>
        <w:rPr>
          <w:rFonts w:ascii="Aptos" w:hAnsi="Aptos"/>
          <w:b w:val="0"/>
          <w:i w:val="0"/>
          <w:color w:val="1A2334"/>
          <w:sz w:val="21"/>
        </w:rPr>
        <w:t>A gap workflow identifies the gap, proposes bridge concepts, searches additional sources, imports new evidence separately and tests whether the connection becomes stable. The visualisation guides research, not conclusions.</w:t>
      </w:r>
    </w:p>
    <w:p>
      <w:pPr>
        <w:keepNext/>
        <w:spacing w:before="320" w:after="120"/>
      </w:pPr>
      <w:r>
        <w:rPr>
          <w:rFonts w:ascii="Georgia" w:hAnsi="Georgia"/>
          <w:b/>
          <w:i w:val="0"/>
          <w:color w:val="1A2334"/>
          <w:sz w:val="32"/>
        </w:rPr>
        <w:t>From graph view to retrieval</w:t>
      </w:r>
    </w:p>
    <w:p>
      <w:pPr>
        <w:spacing w:after="140" w:line="283" w:lineRule="auto"/>
      </w:pPr>
      <w:r>
        <w:rPr>
          <w:rFonts w:ascii="Aptos" w:hAnsi="Aptos"/>
          <w:b w:val="0"/>
          <w:i w:val="0"/>
          <w:color w:val="1A2334"/>
          <w:sz w:val="21"/>
        </w:rPr>
        <w:t>A network visualisation is not yet GraphRAG. Retrieval needs stable identities, typed relations, source references, permissions and a query plan. The graph is a navigation layer; answers remain bound to evidence.</w:t>
      </w:r>
    </w:p>
    <w:p>
      <w:pPr>
        <w:spacing w:after="140" w:line="283" w:lineRule="auto"/>
      </w:pPr>
      <w:r>
        <w:rPr>
          <w:rFonts w:ascii="Aptos" w:hAnsi="Aptos"/>
          <w:b w:val="0"/>
          <w:i w:val="0"/>
          <w:color w:val="1A2334"/>
          <w:sz w:val="21"/>
        </w:rPr>
        <w:t>A query may begin with entity linking. Mentions are mapped to existing entities. Retrieval then traverses a local neighbourhood: direct relations, relevant paths, community membership and associated chunks. Filters enforce validity, version and access. A reranker orders passages for the question.</w:t>
      </w:r>
    </w:p>
    <w:p>
      <w:pPr>
        <w:spacing w:after="140" w:line="283" w:lineRule="auto"/>
      </w:pPr>
      <w:r>
        <w:rPr>
          <w:rFonts w:ascii="Aptos" w:hAnsi="Aptos"/>
          <w:b w:val="0"/>
          <w:i w:val="0"/>
          <w:color w:val="1A2334"/>
          <w:sz w:val="21"/>
        </w:rPr>
        <w:t>The output is not a graph dump but a context packet containing entities, relation statements, community context and supporting chunks. Every relation carries source locations. Uncertain or model-inferred edges are labelled.</w:t>
      </w:r>
    </w:p>
    <w:p>
      <w:pPr>
        <w:keepNext/>
        <w:spacing w:before="320" w:after="120"/>
      </w:pPr>
      <w:r>
        <w:rPr>
          <w:rFonts w:ascii="Georgia" w:hAnsi="Georgia"/>
          <w:b/>
          <w:i w:val="0"/>
          <w:color w:val="1A2334"/>
          <w:sz w:val="32"/>
        </w:rPr>
        <w:t>GraphRAG distinguishes local and global questions</w:t>
      </w:r>
    </w:p>
    <w:p>
      <w:pPr>
        <w:spacing w:after="140" w:line="283" w:lineRule="auto"/>
      </w:pPr>
      <w:r>
        <w:rPr>
          <w:rFonts w:ascii="Aptos" w:hAnsi="Aptos"/>
          <w:b w:val="0"/>
          <w:i w:val="0"/>
          <w:color w:val="1A2334"/>
          <w:sz w:val="21"/>
        </w:rPr>
        <w:t>Microsoft's GraphRAG approach derives an entity graph and community summaries from text. “From Local to Global” addresses corpus-wide questions that local vector retrieval handles poorly.</w:t>
      </w:r>
    </w:p>
    <w:p>
      <w:pPr>
        <w:spacing w:after="140" w:line="283" w:lineRule="auto"/>
      </w:pPr>
      <w:r>
        <w:rPr>
          <w:rFonts w:ascii="Aptos" w:hAnsi="Aptos"/>
          <w:b w:val="0"/>
          <w:i w:val="0"/>
          <w:color w:val="1A2334"/>
          <w:sz w:val="21"/>
        </w:rPr>
        <w:t>Local Search combines graph data around entities with raw text chunks. Global Search uses community reports to summarise broader patterns. Other query modes connect local and global exploration. The correct mode follows the information need.</w:t>
      </w:r>
    </w:p>
    <w:p>
      <w:pPr>
        <w:spacing w:after="140" w:line="283" w:lineRule="auto"/>
      </w:pPr>
      <w:r>
        <w:rPr>
          <w:rFonts w:ascii="Aptos" w:hAnsi="Aptos"/>
          <w:b w:val="0"/>
          <w:i w:val="0"/>
          <w:color w:val="1A2334"/>
          <w:sz w:val="21"/>
        </w:rPr>
        <w:t>“Which obligation applies to Project X?” is local and evidence-heavy. “Which recurring risk patterns shape all projects?” is global and synthesis-heavy. A system should classify the request or combine modes transparently.</w:t>
      </w:r>
    </w:p>
    <w:p>
      <w:pPr>
        <w:keepNext/>
        <w:spacing w:before="320" w:after="120"/>
      </w:pPr>
      <w:r>
        <w:rPr>
          <w:rFonts w:ascii="Georgia" w:hAnsi="Georgia"/>
          <w:b/>
          <w:i w:val="0"/>
          <w:color w:val="1A2334"/>
          <w:sz w:val="32"/>
        </w:rPr>
        <w:t>Graph construction can be convincingly wrong</w:t>
      </w:r>
    </w:p>
    <w:p>
      <w:pPr>
        <w:spacing w:after="140" w:line="283" w:lineRule="auto"/>
      </w:pPr>
      <w:r>
        <w:rPr>
          <w:rFonts w:ascii="Aptos" w:hAnsi="Aptos"/>
          <w:b w:val="0"/>
          <w:i w:val="0"/>
          <w:color w:val="1A2334"/>
          <w:sz w:val="21"/>
        </w:rPr>
        <w:t>Automated entity and relation extraction produces errors. Two people sharing a name are merged; one organisation appears under several aliases; negation is missed; a hypothetical relation becomes fact.</w:t>
      </w:r>
    </w:p>
    <w:p>
      <w:pPr>
        <w:spacing w:after="140" w:line="283" w:lineRule="auto"/>
      </w:pPr>
      <w:r>
        <w:rPr>
          <w:rFonts w:ascii="Aptos" w:hAnsi="Aptos"/>
          <w:b w:val="0"/>
          <w:i w:val="0"/>
          <w:color w:val="1A2334"/>
          <w:sz w:val="21"/>
        </w:rPr>
        <w:t>Entity resolution needs aliases, context, types and sometimes human decisions. Relation schemas require definitions and allowed domains. Confidence scores help prioritise review but do not replace it. Consequential edges may require approval.</w:t>
      </w:r>
    </w:p>
    <w:p>
      <w:pPr>
        <w:spacing w:after="140" w:line="283" w:lineRule="auto"/>
      </w:pPr>
      <w:r>
        <w:rPr>
          <w:rFonts w:ascii="Aptos" w:hAnsi="Aptos"/>
          <w:b w:val="0"/>
          <w:i w:val="0"/>
          <w:color w:val="1A2334"/>
          <w:sz w:val="21"/>
        </w:rPr>
        <w:t>Community summaries are derived artefacts. They compress many sources and may omit or interpret content. Summary version, underlying community and citations must survive. A summary navigates; it must not invisibly replace primary evidence.</w:t>
      </w:r>
    </w:p>
    <w:p>
      <w:pPr>
        <w:keepNext/>
        <w:spacing w:before="320" w:after="120"/>
      </w:pPr>
      <w:r>
        <w:rPr>
          <w:rFonts w:ascii="Georgia" w:hAnsi="Georgia"/>
          <w:b/>
          <w:i w:val="0"/>
          <w:color w:val="1A2334"/>
          <w:sz w:val="32"/>
        </w:rPr>
        <w:t>Graphs complement vectors</w:t>
      </w:r>
    </w:p>
    <w:p>
      <w:pPr>
        <w:spacing w:after="140" w:line="283" w:lineRule="auto"/>
      </w:pPr>
      <w:r>
        <w:rPr>
          <w:rFonts w:ascii="Aptos" w:hAnsi="Aptos"/>
          <w:b w:val="0"/>
          <w:i w:val="0"/>
          <w:color w:val="1A2334"/>
          <w:sz w:val="21"/>
        </w:rPr>
        <w:t>Graphs are strong at relations, paths, communities and global patterns. Vectors are strong at semantic similarity and variable language. Lexical search handles identifiers; structured databases supply authoritative values. Mature systems combine these forms.</w:t>
      </w:r>
    </w:p>
    <w:p>
      <w:pPr>
        <w:spacing w:after="140" w:line="283" w:lineRule="auto"/>
      </w:pPr>
      <w:r>
        <w:rPr>
          <w:rFonts w:ascii="Aptos" w:hAnsi="Aptos"/>
          <w:b w:val="0"/>
          <w:i w:val="0"/>
          <w:color w:val="1A2334"/>
          <w:sz w:val="21"/>
        </w:rPr>
        <w:t>Semantic retrieval may find initial candidates and graph traversal expand their neighbourhoods. Alternatively, a graph selects a community from which vector search chooses passages. Every step needs a reason.</w:t>
      </w:r>
    </w:p>
    <w:p>
      <w:pPr>
        <w:spacing w:after="140" w:line="283" w:lineRule="auto"/>
      </w:pPr>
      <w:r>
        <w:rPr>
          <w:rFonts w:ascii="Aptos" w:hAnsi="Aptos"/>
          <w:b w:val="0"/>
          <w:i w:val="0"/>
          <w:color w:val="1A2334"/>
          <w:sz w:val="21"/>
        </w:rPr>
        <w:t>GraphRAG is not economical for every corpus. Graph construction, extraction, community computation and summaries create cost and update work. Microsoft notes that benefits must be weighed against upfront indexing cost.</w:t>
      </w:r>
    </w:p>
    <w:p>
      <w:pPr>
        <w:keepNext/>
        <w:spacing w:before="320" w:after="120"/>
      </w:pPr>
      <w:r>
        <w:rPr>
          <w:rFonts w:ascii="Georgia" w:hAnsi="Georgia"/>
          <w:b/>
          <w:i w:val="0"/>
          <w:color w:val="1A2334"/>
          <w:sz w:val="32"/>
        </w:rPr>
        <w:t>Evaluation tests region, path and evidence</w:t>
      </w:r>
    </w:p>
    <w:p>
      <w:pPr>
        <w:spacing w:after="140" w:line="283" w:lineRule="auto"/>
      </w:pPr>
      <w:r>
        <w:rPr>
          <w:rFonts w:ascii="Aptos" w:hAnsi="Aptos"/>
          <w:b w:val="0"/>
          <w:i w:val="0"/>
          <w:color w:val="1A2334"/>
          <w:sz w:val="21"/>
        </w:rPr>
        <w:t>Entity linking accuracy measures mention mapping. Relation precision evaluates extracted edges. Community stability tests whether small data changes cause disproportionate structural shifts.</w:t>
      </w:r>
    </w:p>
    <w:p>
      <w:pPr>
        <w:spacing w:after="140" w:line="283" w:lineRule="auto"/>
      </w:pPr>
      <w:r>
        <w:rPr>
          <w:rFonts w:ascii="Aptos" w:hAnsi="Aptos"/>
          <w:b w:val="0"/>
          <w:i w:val="0"/>
          <w:color w:val="1A2334"/>
          <w:sz w:val="21"/>
        </w:rPr>
        <w:t>Query evaluation asks whether retrieval reached the right community, included necessary paths and supported final claims with passages. Global answers need coverage and diversity; local answers need precision and citation faithfulness.</w:t>
      </w:r>
    </w:p>
    <w:p>
      <w:pPr>
        <w:spacing w:after="140" w:line="283" w:lineRule="auto"/>
      </w:pPr>
      <w:r>
        <w:rPr>
          <w:rFonts w:ascii="Aptos" w:hAnsi="Aptos"/>
          <w:b w:val="0"/>
          <w:i w:val="0"/>
          <w:color w:val="1A2334"/>
          <w:sz w:val="21"/>
        </w:rPr>
        <w:t>A Golden Graph Set contains reviewed entities, relations, communities and questions. Negative tests cover name collisions, false bridges, missing permissions and stale edges. A beautiful visualisation does not pass automatically.</w:t>
      </w:r>
    </w:p>
    <w:p>
      <w:pPr>
        <w:keepNext/>
        <w:spacing w:before="320" w:after="120"/>
      </w:pPr>
      <w:r>
        <w:rPr>
          <w:rFonts w:ascii="Georgia" w:hAnsi="Georgia"/>
          <w:b/>
          <w:i w:val="0"/>
          <w:color w:val="1A2334"/>
          <w:sz w:val="32"/>
        </w:rPr>
        <w:t>Method: MAP → CLUSTER → BRIDGE → NARROW → RETRIEVE → TRACE → VERIFY</w:t>
      </w:r>
    </w:p>
    <w:p>
      <w:pPr>
        <w:spacing w:after="140" w:line="283" w:lineRule="auto"/>
      </w:pPr>
      <w:r>
        <w:rPr>
          <w:rFonts w:ascii="Aptos" w:hAnsi="Aptos"/>
          <w:b w:val="0"/>
          <w:i w:val="0"/>
          <w:color w:val="1A2334"/>
          <w:sz w:val="21"/>
        </w:rPr>
        <w:t>**MAP** constructs a graph with provenance. **CLUSTER** identifies communities as search regions. **BRIDGE** finds connecting nodes and hypotheses. **NARROW** selects the probable neighbourhood. **RETRIEVE** obtains passages. **TRACE** preserves paths and sources. **VERIFY** checks entities, relations and claims.</w:t>
      </w:r>
    </w:p>
    <w:p>
      <w:pPr>
        <w:spacing w:after="140" w:line="283" w:lineRule="auto"/>
      </w:pPr>
      <w:r>
        <w:rPr>
          <w:rFonts w:ascii="Aptos" w:hAnsi="Aptos"/>
          <w:b w:val="0"/>
          <w:i w:val="0"/>
          <w:color w:val="1A2334"/>
          <w:sz w:val="21"/>
        </w:rPr>
        <w:t>The objective is not to animate a needle. It is to narrow the search space transparently and then locate defensible evidence.</w:t>
      </w:r>
    </w:p>
    <w:p>
      <w:pPr>
        <w:keepNext/>
        <w:spacing w:before="320" w:after="120"/>
      </w:pPr>
      <w:r>
        <w:rPr>
          <w:rFonts w:ascii="Georgia" w:hAnsi="Georgia"/>
          <w:b/>
          <w:i w:val="0"/>
          <w:color w:val="1A2334"/>
          <w:sz w:val="32"/>
        </w:rPr>
        <w:t>Exercise: create a Probable Location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Choose a corpus and define node, edge and provenance types.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Build a text-network or knowledge-graph view.</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Mark central nodes, communities, bridges and one structural gap.</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Write one local and one global question.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Identify the probable region for each.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Trace the path back to source passages.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Record one confirmed and one rejected graph hypothesis.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community should narrow your current search first? _________________________________________________</w:t>
      </w:r>
    </w:p>
    <w:p>
      <w:pPr>
        <w:spacing w:after="140" w:line="283" w:lineRule="auto"/>
      </w:pPr>
      <w:r>
        <w:rPr>
          <w:rFonts w:ascii="Aptos" w:hAnsi="Aptos"/>
          <w:b w:val="0"/>
          <w:i w:val="0"/>
          <w:color w:val="1A2334"/>
          <w:sz w:val="21"/>
        </w:rPr>
        <w:t>Which attractive graph connection must not be accepted without primary evidence? 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[Edge et al.: From Local to Global](https://www.microsoft.com/en-us/research/publication/from-local-to-global-a-graph-rag-approach-to-query-focused-summarization/) – GraphRAG with entity graphs and community reports for local and global questions.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documented Local, Global, DRIFT and Basic Search modes.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Indexing Architecture](https://microsoft.github.io/graphrag/index/architecture/) – knowledge model and indexing pipeline.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Text Network Analysis](https://infranodus.com/docs/text-network-analysis) – documented representation of words as nodes and co-occurrence as relations.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Network Text Mining](https://infranodus.com/docs/network-visualization-text-mining) – communities, prominent terms and structural gaps as an exploration workflow.</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[Neo4j Graph Data Science: Introduction](https://www.neo4j.com/docs/graph-data-science/current/introduction/) – centrality, ranking, community detection and graph partitioning.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Research: GraphRAG on GitHub](https://www.microsoft.com/en-us/research/blog/graphrag-new-tool-for-complex-data-discovery-now-on-github/) – structured representations and the cost of graph construction.</w:t>
      </w:r>
    </w:p>
    <w:p>
      <w:pPr>
        <w:spacing w:after="140" w:line="283" w:lineRule="auto"/>
      </w:pPr>
      <w:r>
        <w:rPr>
          <w:rFonts w:ascii="Aptos" w:hAnsi="Aptos"/>
          <w:b w:val="0"/>
          <w:i w:val="0"/>
          <w:color w:val="1A2334"/>
          <w:sz w:val="21"/>
        </w:rPr>
        <w:t>*Scope:* Graph metrics and visualisations provide search and hypothesis signals, not automatic professional truth. Graph construction, entity resolution and derived summaries require verification against primary sources. Editorial review date: 17 July 2026.</w:t>
      </w:r>
    </w:p>
    <w:p>
      <w:r>
        <w:br w:type="page"/>
      </w:r>
    </w:p>
    <w:p>
      <w:pPr>
        <w:keepNext/>
        <w:spacing w:before="320" w:after="120"/>
      </w:pPr>
      <w:r>
        <w:rPr>
          <w:rFonts w:ascii="Georgia" w:hAnsi="Georgia"/>
          <w:b/>
          <w:i w:val="0"/>
          <w:color w:val="1A2334"/>
          <w:sz w:val="32"/>
        </w:rPr>
        <w:t>Working template: Probable Location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Corpus / graph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Node / edge types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Community / search region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Central and bridge nodes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Structural gap / hypothesis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Local / global query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Source path / verification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Do not find the needle—find its most probable location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