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  <w:spacing w:after="520"/>
      </w:pPr>
      <w:r>
        <w:t>FURKAN SAKIZLI</w:t>
      </w:r>
    </w:p>
    <w:p>
      <w:pPr>
        <w:pStyle w:val="Title"/>
        <w:spacing w:after="240"/>
      </w:pPr>
      <w:r>
        <w:t>Worksheet: Test data sovereignty in practice</w:t>
      </w:r>
    </w:p>
    <w:p>
      <w:pPr>
        <w:pStyle w:val="Subtitle"/>
        <w:spacing w:after="280"/>
      </w:pPr>
      <w:r>
        <w:t>Data sovereignty is more than local hosting</w:t>
      </w:r>
    </w:p>
    <w:p>
      <w:pPr>
        <w:pStyle w:val="Meta"/>
        <w:spacing w:after="440"/>
      </w:pPr>
      <w:r>
        <w:t>ADDITIONAL ESSAY · DATA CONTROL &amp; SOVEREIGNTY · 16 MIN. READ · Furkan Sakızlı</w:t>
      </w:r>
    </w:p>
    <w:p>
      <w:pPr>
        <w:pStyle w:val="Quote"/>
        <w:spacing w:after="440"/>
        <w:ind w:left="288"/>
      </w:pPr>
      <w:r>
        <w:t>Data can remain inside your own building and still belong to a logic that nobody there controls.</w:t>
      </w:r>
    </w:p>
    <w:p>
      <w:pPr>
        <w:widowControl/>
      </w:pPr>
      <w:r>
        <w:t>Choose a system that processes important project or organisational data.</w:t>
      </w:r>
    </w:p>
    <w:p>
      <w:pPr>
        <w:pStyle w:val="Heading2"/>
        <w:keepNext/>
      </w:pPr>
      <w:r>
        <w:t>1. Draw the data paths</w:t>
      </w:r>
    </w:p>
    <w:p>
      <w:pPr>
        <w:widowControl/>
      </w:pPr>
      <w:r>
        <w:t>Mark storage, inference, logs, backups and external transfers.</w:t>
      </w:r>
    </w:p>
    <w:p>
      <w:pPr>
        <w:pStyle w:val="Heading2"/>
        <w:keepNext/>
      </w:pPr>
      <w:r>
        <w:t>2. Examine canonical states</w:t>
      </w:r>
    </w:p>
    <w:p>
      <w:pPr>
        <w:widowControl/>
      </w:pPr>
      <w:r>
        <w:t>Determine how valid version, provenance, approval and supersession are recognised.</w:t>
      </w:r>
    </w:p>
    <w:p>
      <w:pPr>
        <w:pStyle w:val="Heading2"/>
        <w:keepNext/>
      </w:pPr>
      <w:r>
        <w:t>3. Record keys and rights</w:t>
      </w:r>
    </w:p>
    <w:p>
      <w:pPr>
        <w:widowControl/>
      </w:pPr>
      <w:r>
        <w:t>Write down who holds technical and organisational access power.</w:t>
      </w:r>
    </w:p>
    <w:p>
      <w:pPr>
        <w:pStyle w:val="Heading2"/>
        <w:keepNext/>
      </w:pPr>
      <w:r>
        <w:t>4. Design an exit test</w:t>
      </w:r>
    </w:p>
    <w:p>
      <w:pPr>
        <w:widowControl/>
      </w:pPr>
      <w:r>
        <w:t>List what would need to be exported, reconstructed or rebuilt for a migration.</w:t>
      </w:r>
    </w:p>
    <w:p>
      <w:pPr>
        <w:pStyle w:val="Heading2"/>
        <w:keepNext/>
      </w:pPr>
      <w:r>
        <w:t>5. Assess residual dependency</w:t>
      </w:r>
    </w:p>
    <w:p>
      <w:pPr>
        <w:widowControl/>
      </w:pPr>
      <w:r>
        <w:t>Name the dependency whose failure or termination would cause the greatest loss of meaning.</w:t>
      </w:r>
    </w:p>
    <w:p>
      <w:pPr>
        <w:pStyle w:val="Heading2"/>
        <w:keepNext/>
      </w:pPr>
      <w:r>
        <w:t>Reflexion / Reflection / Yansıtma</w:t>
      </w:r>
    </w:p>
    <w:p>
      <w:pPr>
        <w:widowControl/>
      </w:pPr>
      <w:r>
        <w:t>Which layer is local but still insufficiently controllable? ____________________</w:t>
      </w:r>
    </w:p>
    <w:p>
      <w:pPr>
        <w:widowControl/>
      </w:pPr>
      <w:r>
        <w:t>Which information would be lost in a platform migration today? ____________________</w:t>
      </w:r>
    </w:p>
    <w:sectPr w:rsidR="00FC693F" w:rsidRPr="0006063C" w:rsidSect="00034616">
      <w:footerReference w:type="default" r:id="rId9"/>
      <w:pgSz w:w="12240" w:h="15840"/>
      <w:pgMar w:top="936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eta"/>
      <w:jc w:val="right"/>
    </w:pPr>
    <w:r>
      <w:t xml:space="preserve">FURKAN SAKIZLI · SAKIZLI AI ·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Georgia" w:hAnsi="Georgi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A2334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1A23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A2334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Georgia" w:hAnsi="Georgia"/>
      <w:i/>
      <w:iCs/>
      <w:color w:val="637087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ta">
    <w:name w:val="Meta"/>
    <w:rPr>
      <w:rFonts w:ascii="Courier New" w:hAnsi="Courier New"/>
      <w:color w:val="4F7CF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Worksheet: Test data sovereignty in practice</dc:title>
  <dc:subject>Sakızlı AI Zusatzartikel</dc:subject>
  <dc:creator>Furkan Sakızlı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