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Automation increases the need for control</w:t>
      </w:r>
    </w:p>
    <w:p>
      <w:pPr>
        <w:spacing w:after="160" w:line="283" w:lineRule="auto"/>
      </w:pPr>
      <w:r>
        <w:rPr>
          <w:rFonts w:ascii="Aptos" w:hAnsi="Aptos"/>
          <w:b w:val="0"/>
          <w:i w:val="0"/>
          <w:color w:val="637087"/>
          <w:sz w:val="25"/>
        </w:rPr>
        <w:t>Why the speed, reach and repetition of automated AI actions must be bounded by graduated autonomy, observability, approvals and effective stop rules.</w:t>
      </w:r>
    </w:p>
    <w:p>
      <w:pPr>
        <w:spacing w:after="280" w:line="283" w:lineRule="auto"/>
      </w:pPr>
      <w:r>
        <w:rPr>
          <w:rFonts w:ascii="Aptos" w:hAnsi="Aptos"/>
          <w:b/>
          <w:i w:val="0"/>
          <w:color w:val="4F7CFF"/>
          <w:sz w:val="17"/>
        </w:rPr>
        <w:t>ESSAY · AI DATA ENGINEERING · 16 MIN READ  ·  Furkan Sakızlı</w:t>
      </w:r>
    </w:p>
    <w:p>
      <w:pPr>
        <w:spacing w:after="280"/>
        <w:jc w:val="center"/>
      </w:pPr>
      <w:r>
        <w:drawing>
          <wp:inline xmlns:a="http://schemas.openxmlformats.org/drawingml/2006/main" xmlns:pic="http://schemas.openxmlformats.org/drawingml/2006/picture">
            <wp:extent cx="6126480" cy="3447977"/>
            <wp:docPr id="1" name="Picture 1" title="Automation increases the need for control" descr="Bright three-dimensional automation line with white data blocks, transparent control gates, blue status signals, a control console and a restrained amber stop poin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Automation removes work steps, not accountability. The faster a system can act, the farther it can reach and the more often it can repeat decisions, the more precisely its boundaries, signals and intervention points must be designed.</w:t>
            </w:r>
          </w:p>
        </w:tc>
      </w:tr>
    </w:tbl>
    <w:p>
      <w:pPr>
        <w:spacing w:after="140" w:line="283" w:lineRule="auto"/>
      </w:pPr>
      <w:r>
        <w:rPr>
          <w:rFonts w:ascii="Aptos" w:hAnsi="Aptos"/>
          <w:b w:val="0"/>
          <w:i w:val="0"/>
          <w:color w:val="1A2334"/>
          <w:sz w:val="21"/>
        </w:rPr>
        <w:t>Human attention is present in every step of manual work. That process is slow and fallible, but it creates natural pauses. Automation removes the friction. A wrong record is classified not once but ten thousand times; an untested rule changes a collection rather than one file; a faulty message reaches a list rather than one person.</w:t>
      </w:r>
    </w:p>
    <w:p>
      <w:pPr>
        <w:spacing w:after="140" w:line="283" w:lineRule="auto"/>
      </w:pPr>
      <w:r>
        <w:rPr>
          <w:rFonts w:ascii="Aptos" w:hAnsi="Aptos"/>
          <w:b w:val="0"/>
          <w:i w:val="0"/>
          <w:color w:val="1A2334"/>
          <w:sz w:val="21"/>
        </w:rPr>
        <w:t>Control increases not because automation is inherently unsafe, but because **speed, reach, repetition, chaining and invisibility** multiply impact. Good control does not manually replay every automated step. It directs human attention to edge cases and consequential transitions while technical controls constrain routine execution.</w:t>
      </w:r>
    </w:p>
    <w:p>
      <w:pPr>
        <w:keepNext/>
        <w:spacing w:before="320" w:after="120"/>
      </w:pPr>
      <w:r>
        <w:rPr>
          <w:rFonts w:ascii="Georgia" w:hAnsi="Georgia"/>
          <w:b/>
          <w:i w:val="0"/>
          <w:color w:val="1A2334"/>
          <w:sz w:val="32"/>
        </w:rPr>
        <w:t>Control must grow with impact radius</w:t>
      </w:r>
    </w:p>
    <w:p>
      <w:pPr>
        <w:spacing w:after="140" w:line="283" w:lineRule="auto"/>
      </w:pPr>
      <w:r>
        <w:rPr>
          <w:rFonts w:ascii="Aptos" w:hAnsi="Aptos"/>
          <w:b w:val="0"/>
          <w:i w:val="0"/>
          <w:color w:val="1A2334"/>
          <w:sz w:val="21"/>
        </w:rPr>
        <w:t>Step count is a poor measure of risk. Potential effect matters. Five hundred read queries against an isolated test copy may be safer than one write to a production master record.</w:t>
      </w:r>
    </w:p>
    <w:p>
      <w:pPr>
        <w:spacing w:after="140" w:line="283" w:lineRule="auto"/>
      </w:pPr>
      <w:r>
        <w:rPr>
          <w:rFonts w:ascii="Aptos" w:hAnsi="Aptos"/>
          <w:b w:val="0"/>
          <w:i w:val="0"/>
          <w:color w:val="1A2334"/>
          <w:sz w:val="21"/>
        </w:rPr>
        <w:t>An impact profile considers at least data sensitivity, target breadth, reversibility, external visibility, financial or legal consequence and propagation speed. Model uncertainty and task novelty add context. The combination does not produce a magical universal score; it supports a reasoned control class.</w:t>
      </w:r>
    </w:p>
    <w:p>
      <w:pPr>
        <w:spacing w:after="140" w:line="283" w:lineRule="auto"/>
      </w:pPr>
      <w:r>
        <w:rPr>
          <w:rFonts w:ascii="Aptos" w:hAnsi="Aptos"/>
          <w:b w:val="0"/>
          <w:i w:val="0"/>
          <w:color w:val="1A2334"/>
          <w:sz w:val="21"/>
        </w:rPr>
        <w:t>Control is proportional. Low-risk routine may flow. High-impact work needs narrower rights, smaller batches, stronger evidence and explicit approval.</w:t>
      </w:r>
    </w:p>
    <w:p>
      <w:pPr>
        <w:keepNext/>
        <w:spacing w:before="320" w:after="120"/>
      </w:pPr>
      <w:r>
        <w:rPr>
          <w:rFonts w:ascii="Georgia" w:hAnsi="Georgia"/>
          <w:b/>
          <w:i w:val="0"/>
          <w:color w:val="1A2334"/>
          <w:sz w:val="32"/>
        </w:rPr>
        <w:t>An autonomy ladder replaces all-or-nothing thinking</w:t>
      </w:r>
    </w:p>
    <w:p>
      <w:pPr>
        <w:spacing w:after="140" w:line="283" w:lineRule="auto"/>
      </w:pPr>
      <w:r>
        <w:rPr>
          <w:rFonts w:ascii="Aptos" w:hAnsi="Aptos"/>
          <w:b w:val="0"/>
          <w:i w:val="0"/>
          <w:color w:val="1A2334"/>
          <w:sz w:val="21"/>
        </w:rPr>
        <w:t>Useful levels sit between manual work and unrestricted autonomy:</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**Observe:** read and analyse without changing anything.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**Recommend:** propose actions with rationale and evidence.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**Prepare:** create drafts, patches or transactions in isolation.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with approval:** an authorised person confirms the concrete action set.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within limits:** act independently inside narrow targets, quotas and time windows.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**Scale after evidence:** expand reach only after stable results and review.</w:t>
            </w:r>
          </w:p>
        </w:tc>
      </w:tr>
    </w:tbl>
    <w:p>
      <w:pPr>
        <w:spacing w:after="140" w:line="283" w:lineRule="auto"/>
      </w:pPr>
      <w:r>
        <w:rPr>
          <w:rFonts w:ascii="Aptos" w:hAnsi="Aptos"/>
          <w:b w:val="0"/>
          <w:i w:val="0"/>
          <w:color w:val="1A2334"/>
          <w:sz w:val="21"/>
        </w:rPr>
        <w:t>A task need not remain at one level. A new source, changed model, unfamiliar format or abnormal error rate can automatically downgrade it. Autonomy is a revocable operating licence, not a permanent property.</w:t>
      </w:r>
    </w:p>
    <w:p>
      <w:pPr>
        <w:keepNext/>
        <w:spacing w:before="320" w:after="120"/>
      </w:pPr>
      <w:r>
        <w:rPr>
          <w:rFonts w:ascii="Georgia" w:hAnsi="Georgia"/>
          <w:b/>
          <w:i w:val="0"/>
          <w:color w:val="1A2334"/>
          <w:sz w:val="32"/>
        </w:rPr>
        <w:t>Risk budgets turn caution into executable boundaries</w:t>
      </w:r>
    </w:p>
    <w:p>
      <w:pPr>
        <w:spacing w:after="140" w:line="283" w:lineRule="auto"/>
      </w:pPr>
      <w:r>
        <w:rPr>
          <w:rFonts w:ascii="Aptos" w:hAnsi="Aptos"/>
          <w:b w:val="0"/>
          <w:i w:val="0"/>
          <w:color w:val="1A2334"/>
          <w:sz w:val="21"/>
        </w:rPr>
        <w:t>“Be careful” is not a control. A risk budget translates tolerance into measurable limits: maximum changed objects, allowed data classes, destination paths, cost, duration, error rate, external recipients and irreversible actions.</w:t>
      </w:r>
    </w:p>
    <w:p>
      <w:pPr>
        <w:spacing w:after="140" w:line="283" w:lineRule="auto"/>
      </w:pPr>
      <w:r>
        <w:rPr>
          <w:rFonts w:ascii="Aptos" w:hAnsi="Aptos"/>
          <w:b w:val="0"/>
          <w:i w:val="0"/>
          <w:color w:val="1A2334"/>
          <w:sz w:val="21"/>
        </w:rPr>
        <w:t>Budgets apply per run and cumulatively. Ten individually small actions may create one large effect, so volume and consequence are counted across time windows. Reaching a boundary stops execution or moves it into approval mode.</w:t>
      </w:r>
    </w:p>
    <w:p>
      <w:pPr>
        <w:spacing w:after="140" w:line="283" w:lineRule="auto"/>
      </w:pPr>
      <w:r>
        <w:rPr>
          <w:rFonts w:ascii="Aptos" w:hAnsi="Aptos"/>
          <w:b w:val="0"/>
          <w:i w:val="0"/>
          <w:color w:val="1A2334"/>
          <w:sz w:val="21"/>
        </w:rPr>
        <w:t>The executing agent cannot raise its own budget. A separate policy or owner decision changes the boundary. Control therefore remains outside the system that would benefit from relaxing it.</w:t>
      </w:r>
    </w:p>
    <w:p>
      <w:pPr>
        <w:keepNext/>
        <w:spacing w:before="320" w:after="120"/>
      </w:pPr>
      <w:r>
        <w:rPr>
          <w:rFonts w:ascii="Georgia" w:hAnsi="Georgia"/>
          <w:b/>
          <w:i w:val="0"/>
          <w:color w:val="1A2334"/>
          <w:sz w:val="32"/>
        </w:rPr>
        <w:t>Approval gates belong before impact</w:t>
      </w:r>
    </w:p>
    <w:p>
      <w:pPr>
        <w:spacing w:after="140" w:line="283" w:lineRule="auto"/>
      </w:pPr>
      <w:r>
        <w:rPr>
          <w:rFonts w:ascii="Aptos" w:hAnsi="Aptos"/>
          <w:b w:val="0"/>
          <w:i w:val="0"/>
          <w:color w:val="1A2334"/>
          <w:sz w:val="21"/>
        </w:rPr>
        <w:t>A notification after execution is not approval. A gate precedes the consequential transition and shows the exact target, action, scope, data class, expected diff, risks, recovery route and evidence.</w:t>
      </w:r>
    </w:p>
    <w:p>
      <w:pPr>
        <w:spacing w:after="140" w:line="283" w:lineRule="auto"/>
      </w:pPr>
      <w:r>
        <w:rPr>
          <w:rFonts w:ascii="Aptos" w:hAnsi="Aptos"/>
          <w:b w:val="0"/>
          <w:i w:val="0"/>
          <w:color w:val="1A2334"/>
          <w:sz w:val="21"/>
        </w:rPr>
        <w:t>Approvals should be neither blanket nor incessant. “Approve all next steps” hides the action set; prompts for every harmless row create fatigue. Semantic batches are better: one bounded patch, recipient list, publication package or deletion set.</w:t>
      </w:r>
    </w:p>
    <w:p>
      <w:pPr>
        <w:spacing w:after="140" w:line="283" w:lineRule="auto"/>
      </w:pPr>
      <w:r>
        <w:rPr>
          <w:rFonts w:ascii="Aptos" w:hAnsi="Aptos"/>
          <w:b w:val="0"/>
          <w:i w:val="0"/>
          <w:color w:val="1A2334"/>
          <w:sz w:val="21"/>
        </w:rPr>
        <w:t>Very high impact may require dual authorisation from independent roles. It is not universal, but it is useful for irreversible, regulated or unusually broad changes.</w:t>
      </w:r>
    </w:p>
    <w:p>
      <w:pPr>
        <w:keepNext/>
        <w:spacing w:before="320" w:after="120"/>
      </w:pPr>
      <w:r>
        <w:rPr>
          <w:rFonts w:ascii="Georgia" w:hAnsi="Georgia"/>
          <w:b/>
          <w:i w:val="0"/>
          <w:color w:val="1A2334"/>
          <w:sz w:val="32"/>
        </w:rPr>
        <w:t>Observability is more than possessing logs</w:t>
      </w:r>
    </w:p>
    <w:p>
      <w:pPr>
        <w:spacing w:after="140" w:line="283" w:lineRule="auto"/>
      </w:pPr>
      <w:r>
        <w:rPr>
          <w:rFonts w:ascii="Aptos" w:hAnsi="Aptos"/>
          <w:b w:val="0"/>
          <w:i w:val="0"/>
          <w:color w:val="1A2334"/>
          <w:sz w:val="21"/>
        </w:rPr>
        <w:t>A log may exist and still be useless. Controllable automation needs correlated signals: What was requested? Which versions, data and tools were used? Which decision caused a call? What changed? How long did it take? Which warnings appeared?</w:t>
      </w:r>
    </w:p>
    <w:p>
      <w:pPr>
        <w:spacing w:after="140" w:line="283" w:lineRule="auto"/>
      </w:pPr>
      <w:r>
        <w:rPr>
          <w:rFonts w:ascii="Aptos" w:hAnsi="Aptos"/>
          <w:b w:val="0"/>
          <w:i w:val="0"/>
          <w:color w:val="1A2334"/>
          <w:sz w:val="21"/>
        </w:rPr>
        <w:t>Traces connect steps across a run. Metrics expose volume, latency, error rates and budget consumption. Logs explain events. Shared run, project and action identifiers join the signals. Sensitive payloads and secrets are minimised or masked; observability must not become an unprotected second data store.</w:t>
      </w:r>
    </w:p>
    <w:p>
      <w:pPr>
        <w:spacing w:after="140" w:line="283" w:lineRule="auto"/>
      </w:pPr>
      <w:r>
        <w:rPr>
          <w:rFonts w:ascii="Aptos" w:hAnsi="Aptos"/>
          <w:b w:val="0"/>
          <w:i w:val="0"/>
          <w:color w:val="1A2334"/>
          <w:sz w:val="21"/>
        </w:rPr>
        <w:t>A dashboard becomes control only when thresholds lead to response. Every alert needs an owner, priority, escalation path and response expectation. Symptom-oriented alerts ask whether impact or a service objective is violated, not merely whether an internal component looks unusual.</w:t>
      </w:r>
    </w:p>
    <w:p>
      <w:pPr>
        <w:keepNext/>
        <w:spacing w:before="320" w:after="120"/>
      </w:pPr>
      <w:r>
        <w:rPr>
          <w:rFonts w:ascii="Georgia" w:hAnsi="Georgia"/>
          <w:b/>
          <w:i w:val="0"/>
          <w:color w:val="1A2334"/>
          <w:sz w:val="32"/>
        </w:rPr>
        <w:t>Stop rules must be fast, external and tested</w:t>
      </w:r>
    </w:p>
    <w:p>
      <w:pPr>
        <w:spacing w:after="140" w:line="283" w:lineRule="auto"/>
      </w:pPr>
      <w:r>
        <w:rPr>
          <w:rFonts w:ascii="Aptos" w:hAnsi="Aptos"/>
          <w:b w:val="0"/>
          <w:i w:val="0"/>
          <w:color w:val="1A2334"/>
          <w:sz w:val="21"/>
        </w:rPr>
        <w:t>The executing system must not reason its way around a stop. Rules live outside freely editable instructions. They trigger on wrong destinations, exhausted budgets, repeated validation failure, missing approval, abnormal spread or loss of observability.</w:t>
      </w:r>
    </w:p>
    <w:p>
      <w:pPr>
        <w:spacing w:after="140" w:line="283" w:lineRule="auto"/>
      </w:pPr>
      <w:r>
        <w:rPr>
          <w:rFonts w:ascii="Aptos" w:hAnsi="Aptos"/>
          <w:b w:val="0"/>
          <w:i w:val="0"/>
          <w:color w:val="1A2334"/>
          <w:sz w:val="21"/>
        </w:rPr>
        <w:t>Several levels are needed: deny one action, pause the run, revoke write access, block a queue or isolate the service. An untested kill switch is decoration. Exercises verify that active jobs stop, credentials are revoked and queued actions do not resume unnoticed.</w:t>
      </w:r>
    </w:p>
    <w:p>
      <w:pPr>
        <w:spacing w:after="140" w:line="283" w:lineRule="auto"/>
      </w:pPr>
      <w:r>
        <w:rPr>
          <w:rFonts w:ascii="Aptos" w:hAnsi="Aptos"/>
          <w:b w:val="0"/>
          <w:i w:val="0"/>
          <w:color w:val="1A2334"/>
          <w:sz w:val="21"/>
        </w:rPr>
        <w:t>Stopping is only half the control. Recovery captures state, avoids duplicate processing, identifies affected objects and chooses rollback, correction run or manual handling.</w:t>
      </w:r>
    </w:p>
    <w:p>
      <w:pPr>
        <w:keepNext/>
        <w:spacing w:before="320" w:after="120"/>
      </w:pPr>
      <w:r>
        <w:rPr>
          <w:rFonts w:ascii="Georgia" w:hAnsi="Georgia"/>
          <w:b/>
          <w:i w:val="0"/>
          <w:color w:val="1A2334"/>
          <w:sz w:val="32"/>
        </w:rPr>
        <w:t>Sampling should be risk-based, not conveniently random</w:t>
      </w:r>
    </w:p>
    <w:p>
      <w:pPr>
        <w:spacing w:after="140" w:line="283" w:lineRule="auto"/>
      </w:pPr>
      <w:r>
        <w:rPr>
          <w:rFonts w:ascii="Aptos" w:hAnsi="Aptos"/>
          <w:b w:val="0"/>
          <w:i w:val="0"/>
          <w:color w:val="1A2334"/>
          <w:sz w:val="21"/>
        </w:rPr>
        <w:t>Complete manual review does not scale. Pure random sampling misses rare but costly errors. Good sampling combines randomness with targeted selection: new data types, low confidence, unusual sizes, boundary cases, sensitive classes, new tool releases and deviations from established patterns.</w:t>
      </w:r>
    </w:p>
    <w:p>
      <w:pPr>
        <w:spacing w:after="140" w:line="283" w:lineRule="auto"/>
      </w:pPr>
      <w:r>
        <w:rPr>
          <w:rFonts w:ascii="Aptos" w:hAnsi="Aptos"/>
          <w:b w:val="0"/>
          <w:i w:val="0"/>
          <w:color w:val="1A2334"/>
          <w:sz w:val="21"/>
        </w:rPr>
        <w:t>Sample size reflects accepted error tolerance and consequence, not volume alone. Findings feed metrics, tests and policy. They do not directly rewrite global instructions; review first distinguishes isolated cases, source-data defects and systematic failure.</w:t>
      </w:r>
    </w:p>
    <w:p>
      <w:pPr>
        <w:keepNext/>
        <w:spacing w:before="320" w:after="120"/>
      </w:pPr>
      <w:r>
        <w:rPr>
          <w:rFonts w:ascii="Georgia" w:hAnsi="Georgia"/>
          <w:b/>
          <w:i w:val="0"/>
          <w:color w:val="1A2334"/>
          <w:sz w:val="32"/>
        </w:rPr>
        <w:t>Evidence must support the control claim</w:t>
      </w:r>
    </w:p>
    <w:p>
      <w:pPr>
        <w:spacing w:after="140" w:line="283" w:lineRule="auto"/>
      </w:pPr>
      <w:r>
        <w:rPr>
          <w:rFonts w:ascii="Aptos" w:hAnsi="Aptos"/>
          <w:b w:val="0"/>
          <w:i w:val="0"/>
          <w:color w:val="1A2334"/>
          <w:sz w:val="21"/>
        </w:rPr>
        <w:t>A green status is not evidence. Each run retains input references, configuration and model versions, policy decisions, approvals, diff or action list, validation results, budget use and outcome. Hashes or stable identifiers bind reports to artefacts.</w:t>
      </w:r>
    </w:p>
    <w:p>
      <w:pPr>
        <w:spacing w:after="140" w:line="283" w:lineRule="auto"/>
      </w:pPr>
      <w:r>
        <w:rPr>
          <w:rFonts w:ascii="Aptos" w:hAnsi="Aptos"/>
          <w:b w:val="0"/>
          <w:i w:val="0"/>
          <w:color w:val="1A2334"/>
          <w:sz w:val="21"/>
        </w:rPr>
        <w:t>Evidence should explain decisive transitions without duplicating unnecessary sensitive content. Provenance connects entities, activities and accountable identities so reviewers can see who prepared, approved and executed an action.</w:t>
      </w:r>
    </w:p>
    <w:p>
      <w:pPr>
        <w:keepNext/>
        <w:spacing w:before="320" w:after="120"/>
      </w:pPr>
      <w:r>
        <w:rPr>
          <w:rFonts w:ascii="Georgia" w:hAnsi="Georgia"/>
          <w:b/>
          <w:i w:val="0"/>
          <w:color w:val="1A2334"/>
          <w:sz w:val="32"/>
        </w:rPr>
        <w:t>Control starts before production</w:t>
      </w:r>
    </w:p>
    <w:p>
      <w:pPr>
        <w:spacing w:after="140" w:line="283" w:lineRule="auto"/>
      </w:pPr>
      <w:r>
        <w:rPr>
          <w:rFonts w:ascii="Aptos" w:hAnsi="Aptos"/>
          <w:b w:val="0"/>
          <w:i w:val="0"/>
          <w:color w:val="1A2334"/>
          <w:sz w:val="21"/>
        </w:rPr>
        <w:t>Shadow runs observe realistic inputs without effect. Dry runs compute actions and diffs. Canaries process a small representative subset. Scope expands only after quality, safety and operational signals remain stable.</w:t>
      </w:r>
    </w:p>
    <w:p>
      <w:pPr>
        <w:spacing w:after="140" w:line="283" w:lineRule="auto"/>
      </w:pPr>
      <w:r>
        <w:rPr>
          <w:rFonts w:ascii="Aptos" w:hAnsi="Aptos"/>
          <w:b w:val="0"/>
          <w:i w:val="0"/>
          <w:color w:val="1A2334"/>
          <w:sz w:val="21"/>
        </w:rPr>
        <w:t>Rollouts need downgrade criteria. A system does not scale merely because no alert fired. Missing telemetry, weak sampling or untested edge cases are themselves reasons not to widen reach.</w:t>
      </w:r>
    </w:p>
    <w:p>
      <w:pPr>
        <w:keepNext/>
        <w:spacing w:before="320" w:after="120"/>
      </w:pPr>
      <w:r>
        <w:rPr>
          <w:rFonts w:ascii="Georgia" w:hAnsi="Georgia"/>
          <w:b/>
          <w:i w:val="0"/>
          <w:color w:val="1A2334"/>
          <w:sz w:val="32"/>
        </w:rPr>
        <w:t>Control debt accumulates like technical debt</w:t>
      </w:r>
    </w:p>
    <w:p>
      <w:pPr>
        <w:spacing w:after="140" w:line="283" w:lineRule="auto"/>
      </w:pPr>
      <w:r>
        <w:rPr>
          <w:rFonts w:ascii="Aptos" w:hAnsi="Aptos"/>
          <w:b w:val="0"/>
          <w:i w:val="0"/>
          <w:color w:val="1A2334"/>
          <w:sz w:val="21"/>
        </w:rPr>
        <w:t>Temporary exceptions, muted alerts and manual workarounds rarely remain temporary. Each one creates control debt: the system continues operating, but its safety claim depends on undocumented human memory. A control-debt register records the exception, owner, affected scope, compensating measure, expiry date and removal test. Expired exceptions automatically block further scaling. This prevents operational pressure from silently turning a narrow experiment into an uncontrolled permanent service. Paying down control debt means restoring enforceable policy, reliable telemetry and tested recovery—not merely rewriting the documentation.</w:t>
      </w:r>
    </w:p>
    <w:p>
      <w:pPr>
        <w:keepNext/>
        <w:spacing w:before="320" w:after="120"/>
      </w:pPr>
      <w:r>
        <w:rPr>
          <w:rFonts w:ascii="Georgia" w:hAnsi="Georgia"/>
          <w:b/>
          <w:i w:val="0"/>
          <w:color w:val="1A2334"/>
          <w:sz w:val="32"/>
        </w:rPr>
        <w:t>Method: SCOPE → CLASSIFY → BUDGET → GATE → OBSERVE → STOP → PROVE → IMPROVE</w:t>
      </w:r>
    </w:p>
    <w:p>
      <w:pPr>
        <w:spacing w:after="140" w:line="283" w:lineRule="auto"/>
      </w:pPr>
      <w:r>
        <w:rPr>
          <w:rFonts w:ascii="Aptos" w:hAnsi="Aptos"/>
          <w:b w:val="0"/>
          <w:i w:val="0"/>
          <w:color w:val="1A2334"/>
          <w:sz w:val="21"/>
        </w:rPr>
        <w:t>**SCOPE** bounds the target and data space. **CLASSIFY** evaluates impact and reversibility. **BUDGET** defines executable limits. **GATE** places approval before consequence. **OBSERVE** correlates logs, metrics and traces. **STOP** terminates deviations through external rules. **PROVE** retains evidence and provenance. **IMPROVE** changes thresholds only after review.</w:t>
      </w:r>
    </w:p>
    <w:p>
      <w:pPr>
        <w:spacing w:after="140" w:line="283" w:lineRule="auto"/>
      </w:pPr>
      <w:r>
        <w:rPr>
          <w:rFonts w:ascii="Aptos" w:hAnsi="Aptos"/>
          <w:b w:val="0"/>
          <w:i w:val="0"/>
          <w:color w:val="1A2334"/>
          <w:sz w:val="21"/>
        </w:rPr>
        <w:t>The goal is not maximum human participation but maximum controllability. Mature automation makes routine quiet and dependable while making exceptional impact early, explicit and stoppable.</w:t>
      </w:r>
    </w:p>
    <w:p>
      <w:pPr>
        <w:keepNext/>
        <w:spacing w:before="320" w:after="120"/>
      </w:pPr>
      <w:r>
        <w:rPr>
          <w:rFonts w:ascii="Georgia" w:hAnsi="Georgia"/>
          <w:b/>
          <w:i w:val="0"/>
          <w:color w:val="1A2334"/>
          <w:sz w:val="32"/>
        </w:rPr>
        <w:t>Exercise: Design an Automation Control Plan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Select an automated process and define objective, data space and external effect.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Build an impact profile covering sensitivity, reach, reversibility, visibility and propagation.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an autonomy level and justify it.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at least five machine-enforceable risk budgets.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Place approval gates and specify the evidence shown.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metrics, traces, logs, alert owners and response times.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Write stop, recovery, sampling and downgrade rules.</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effect can currently propagate faster than your team can respond? ________________________________</w:t>
      </w:r>
    </w:p>
    <w:p>
      <w:pPr>
        <w:spacing w:after="140" w:line="283" w:lineRule="auto"/>
      </w:pPr>
      <w:r>
        <w:rPr>
          <w:rFonts w:ascii="Aptos" w:hAnsi="Aptos"/>
          <w:b w:val="0"/>
          <w:i w:val="0"/>
          <w:color w:val="1A2334"/>
          <w:sz w:val="21"/>
        </w:rPr>
        <w:t>Which approval currently arrives only after the decisive action? 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 – Core](https://airc.nist.gov/airmf-resources/airmf/5-sec-core/) – Govern, Map, Measure and Manage as connected AI risk-management functions.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Playbook – Govern](https://airc.nist.gov/airmf-resources/playbook/govern/) – documented policy, accountability and monitoring as organisational foundations.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controls for least privilege, dual authorisation, audit, continuous monitoring and incident response.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LLM06:2025 Excessive Agency](https://genai.owasp.org/llmrisk/llm062025-excessive-agency/) – risks from excessive functionality, permission and autonomy in agentic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[OpenTelemetry – Observability Primer](https://opentelemetry.io/docs/concepts/observability-primer/) – logs, metrics and traces as correlated signals of system behaviour.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[SRE Workbook – Alerting on SLOs](https://sre.google/workbook/alerting-on-slos/) – symptom-oriented alerting and burn-rate approaches for dependable service objectives.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provenance model for entities, activities and accountable agents.</w:t>
      </w:r>
    </w:p>
    <w:p>
      <w:pPr>
        <w:spacing w:after="140" w:line="283" w:lineRule="auto"/>
      </w:pPr>
      <w:r>
        <w:rPr>
          <w:rFonts w:ascii="Aptos" w:hAnsi="Aptos"/>
          <w:b w:val="0"/>
          <w:i w:val="0"/>
          <w:color w:val="1A2334"/>
          <w:sz w:val="21"/>
        </w:rPr>
        <w:t>*Scope:* The control levels are a product-independent reference model, not blanket legal or compliance approval. Concrete thresholds must reflect impact, data class, reversibility, regulatory context and organisational risk tolerance. Editorial and technical review: 17 July 2026.</w:t>
      </w:r>
    </w:p>
    <w:p>
      <w:r>
        <w:br w:type="page"/>
      </w:r>
    </w:p>
    <w:p>
      <w:pPr>
        <w:keepNext/>
        <w:spacing w:before="320" w:after="120"/>
      </w:pPr>
      <w:r>
        <w:rPr>
          <w:rFonts w:ascii="Georgia" w:hAnsi="Georgia"/>
          <w:b/>
          <w:i w:val="0"/>
          <w:color w:val="1A2334"/>
          <w:sz w:val="32"/>
        </w:rPr>
        <w:t>Working template: Automation Control 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Process / objective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Impact profile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Autonomy level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Risk budgets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Approval gates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Signals / alerts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Stop / recovery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Automation increases the need for control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