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60"/>
        <w:jc w:val="left"/>
      </w:pPr>
      <w:r>
        <w:rPr>
          <w:rFonts w:ascii="Arial" w:hAnsi="Arial"/>
          <w:b/>
          <w:i w:val="0"/>
          <w:color w:val="000000"/>
          <w:sz w:val="42"/>
        </w:rPr>
        <w:t>Verantwortung vor dem Klick</w:t>
      </w:r>
    </w:p>
    <w:p>
      <w:pPr>
        <w:spacing w:after="140" w:line="259" w:lineRule="auto"/>
      </w:pPr>
      <w:r>
        <w:rPr>
          <w:rFonts w:ascii="Arial" w:hAnsi="Arial"/>
          <w:b/>
          <w:i w:val="0"/>
          <w:color w:val="000000"/>
          <w:sz w:val="22"/>
        </w:rPr>
        <w:t>Arbeitsblatt</w:t>
      </w:r>
    </w:p>
    <w:p>
      <w:pPr>
        <w:spacing w:after="100" w:line="259" w:lineRule="auto"/>
      </w:pPr>
      <w:r>
        <w:rPr>
          <w:rFonts w:ascii="Arial" w:hAnsi="Arial"/>
          <w:b w:val="0"/>
          <w:i w:val="0"/>
          <w:color w:val="1A1A1A"/>
          <w:sz w:val="20"/>
        </w:rPr>
        <w:t>Eine KI kann einen Antworttext vorbereiten. Dieses Blatt hilft dabei zu klären, wer den Sachverhalt prüft, wer wirksam anhalten darf und woran eine Entscheidung später nachvollzogen wird.</w:t>
      </w:r>
    </w:p>
    <w:p>
      <w:pPr>
        <w:spacing w:after="60" w:line="254" w:lineRule="auto"/>
      </w:pPr>
      <w:r>
        <w:rPr>
          <w:rFonts w:ascii="Arial" w:hAnsi="Arial"/>
          <w:b/>
          <w:i w:val="0"/>
          <w:color w:val="000000"/>
          <w:sz w:val="18"/>
        </w:rPr>
        <w:t xml:space="preserve">Arbeitszeit: </w:t>
      </w:r>
      <w:r>
        <w:rPr>
          <w:rFonts w:ascii="Arial" w:hAnsi="Arial"/>
          <w:b w:val="0"/>
          <w:i w:val="0"/>
          <w:color w:val="1A1A1A"/>
          <w:sz w:val="18"/>
        </w:rPr>
        <w:t>35 bis 45 Minuten allein oder in Gruppen. Die Unterrichtsvariante auf Seite 4 dauert 90 Minuten.</w:t>
      </w:r>
    </w:p>
    <w:p>
      <w:pPr>
        <w:spacing w:after="60" w:line="254" w:lineRule="auto"/>
      </w:pPr>
      <w:r>
        <w:rPr>
          <w:rFonts w:ascii="Arial" w:hAnsi="Arial"/>
          <w:b/>
          <w:i w:val="0"/>
          <w:color w:val="000000"/>
          <w:sz w:val="18"/>
        </w:rPr>
        <w:t xml:space="preserve">Übungsgrenze: </w:t>
      </w:r>
      <w:r>
        <w:rPr>
          <w:rFonts w:ascii="Arial" w:hAnsi="Arial"/>
          <w:b w:val="0"/>
          <w:i w:val="0"/>
          <w:color w:val="1A1A1A"/>
          <w:sz w:val="18"/>
        </w:rPr>
        <w:t>Der Fall ist vollständig erfunden. Es werden keine Kundendaten verarbeitet und keine Nachricht versendet. Eine spätere Anwendung muss eigenständig geprüft werden.</w:t>
      </w:r>
    </w:p>
    <w:p>
      <w:pPr>
        <w:spacing w:before="160" w:after="80"/>
        <w:keepNext/>
      </w:pPr>
      <w:r>
        <w:rPr>
          <w:rFonts w:ascii="Arial" w:hAnsi="Arial"/>
          <w:b/>
          <w:i w:val="0"/>
          <w:color w:val="000000"/>
          <w:sz w:val="26"/>
        </w:rPr>
        <w:t>Ausgefüllter Fall R 184</w:t>
      </w:r>
    </w:p>
    <w:p>
      <w:pPr>
        <w:spacing w:after="80" w:line="259" w:lineRule="auto"/>
      </w:pPr>
      <w:r>
        <w:rPr>
          <w:rFonts w:ascii="Arial" w:hAnsi="Arial"/>
          <w:b w:val="0"/>
          <w:i w:val="0"/>
          <w:color w:val="1A1A1A"/>
          <w:sz w:val="18"/>
        </w:rPr>
        <w:t>Eine Werkstatt meldet ein möglicherweise sicherheitsrelevantes Bauteil mit beschädigter Verpackung. Das interne Sprachmodell schlägt vor: „Bitte Fotos nachreichen; Entscheidung in fünf Werktagen.“ Für den Einbau besteht ein Termin. Im Ticket fehlt, ob der Karton geöffnet wurde.</w:t>
      </w:r>
    </w:p>
    <w:p>
      <w:pPr>
        <w:spacing w:after="60" w:line="254" w:lineRule="auto"/>
      </w:pPr>
      <w:r>
        <w:rPr>
          <w:rFonts w:ascii="Arial" w:hAnsi="Arial"/>
          <w:b/>
          <w:i w:val="0"/>
          <w:color w:val="000000"/>
          <w:sz w:val="18"/>
        </w:rPr>
        <w:t xml:space="preserve">Arbeitsentscheidung: </w:t>
      </w:r>
      <w:r>
        <w:rPr>
          <w:rFonts w:ascii="Arial" w:hAnsi="Arial"/>
          <w:b w:val="0"/>
          <w:i w:val="0"/>
          <w:color w:val="1A1A1A"/>
          <w:sz w:val="18"/>
        </w:rPr>
        <w:t>Der Text bleibt ein nicht versendeter Entwurf. Die Servicekraft hält an, dokumentiert die Lücke und leitet nach der Stopregel weiter.</w:t>
      </w:r>
    </w:p>
    <w:p>
      <w:pPr>
        <w:spacing w:after="40" w:before="0" w:line="96" w:lineRule="auto"/>
      </w:pPr>
    </w:p>
    <w:tbl>
      <w:tblPr>
        <w:tblW w:type="auto" w:w="0"/>
        <w:jc w:val="center"/>
        <w:tblLayout w:type="fixed"/>
        <w:tblLook w:firstColumn="1" w:firstRow="1" w:lastColumn="0" w:lastRow="0" w:noHBand="0" w:noVBand="1" w:val="04A0"/>
      </w:tblPr>
      <w:tblGrid>
        <w:gridCol w:w="5314"/>
        <w:gridCol w:w="5314"/>
      </w:tblGrid>
      <w:tr>
        <w:trPr>
          <w:tblHeader w:val="true"/>
          <w:cantSplit/>
        </w:trPr>
        <w:tc>
          <w:tcPr>
            <w:tcW w:type="dxa" w:w="259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6"/>
              </w:rPr>
              <w:t>Frage</w:t>
            </w:r>
          </w:p>
        </w:tc>
        <w:tc>
          <w:tcPr>
            <w:tcW w:type="dxa" w:w="799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6"/>
              </w:rPr>
              <w:t>Arbeitsantwort</w:t>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Was bereitet die KI vor?</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Einen nicht versendeten Antwortentwurf für eine Transportschaden Reklamation.</w:t>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Was darf sie nicht entscheiden?</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Ersatzlieferung, Ablehnung, Kosten oder Haftung sowie die Freigabe eines sicherheitsrelevanten Teils.</w:t>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Welche Information fehlt?</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Ob der Karton geöffnet wurde. Schadenbild, Lieferstatus und Produktkennzeichnung müssen nachvollziehbar sein.</w:t>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Nicht KI Alternative</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Checkliste und freigegebene Textbausteine für die erste Rückfrage.</w:t>
            </w:r>
          </w:p>
        </w:tc>
      </w:tr>
    </w:tbl>
    <w:p>
      <w:pPr>
        <w:spacing w:before="160" w:after="80"/>
        <w:keepNext/>
      </w:pPr>
      <w:r>
        <w:rPr>
          <w:rFonts w:ascii="Arial" w:hAnsi="Arial"/>
          <w:b/>
          <w:i w:val="0"/>
          <w:color w:val="000000"/>
          <w:sz w:val="26"/>
        </w:rPr>
        <w:t>Kompakte Verantwortungsmatrix</w:t>
      </w:r>
    </w:p>
    <w:p>
      <w:pPr>
        <w:spacing w:after="60" w:line="259" w:lineRule="auto"/>
      </w:pPr>
      <w:r>
        <w:rPr>
          <w:rFonts w:ascii="Arial" w:hAnsi="Arial"/>
          <w:b w:val="0"/>
          <w:i w:val="0"/>
          <w:color w:val="1A1A1A"/>
          <w:sz w:val="17"/>
        </w:rPr>
        <w:t>Verantwortung entsteht hier aus fallbezogenem Wissen, einem wirksamen Eingriffsrecht und einem dokumentierten Nachweis. Die Matrix verteilt keine pauschale Schuld.</w:t>
      </w:r>
    </w:p>
    <w:tbl>
      <w:tblPr>
        <w:tblW w:type="auto" w:w="0"/>
        <w:jc w:val="center"/>
        <w:tblLayout w:type="fixed"/>
        <w:tblLook w:firstColumn="1" w:firstRow="1" w:lastColumn="0" w:lastRow="0" w:noHBand="0" w:noVBand="1" w:val="04A0"/>
      </w:tblPr>
      <w:tblGrid>
        <w:gridCol w:w="2657"/>
        <w:gridCol w:w="2657"/>
        <w:gridCol w:w="2657"/>
        <w:gridCol w:w="2657"/>
      </w:tblGrid>
      <w:tr>
        <w:trPr>
          <w:tblHeader w:val="true"/>
          <w:cantSplit/>
        </w:trPr>
        <w:tc>
          <w:tcPr>
            <w:tcW w:type="dxa" w:w="1728"/>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Schritt</w:t>
            </w:r>
          </w:p>
        </w:tc>
        <w:tc>
          <w:tcPr>
            <w:tcW w:type="dxa" w:w="194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Entscheidende Rolle</w:t>
            </w:r>
          </w:p>
        </w:tc>
        <w:tc>
          <w:tcPr>
            <w:tcW w:type="dxa" w:w="367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Eingriff und Gegenprüfung</w:t>
            </w:r>
          </w:p>
        </w:tc>
        <w:tc>
          <w:tcPr>
            <w:tcW w:type="dxa" w:w="3240"/>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Nachweis und Rückmeldung</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Entwurf liegt vor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Servicekraft</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Liest, ändert, verwirft oder bereitet Rückfrage vor. Lagerfachkraft prüft Angaben zu Verpackung, Teil oder Versand.</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Fall ID, Entwurfsversion, Änderung oder Verwerfung, Grund und fehlender Beleg. Nur Entwurf für eine verständliche Rückfrage.</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Sicherheitsbezug oder Verpackung unklar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Serviceleitung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Hält an und entscheidet erst mit Lagerbefund. Betriebsleitung prüft Regel, Zeit und Vertretung.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Entscheiderrolle, Zeitpunkt, Grund, Regel oder Ausnahme. Menschliche erneute Prüfung kann verlangt werden.</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Lagerbefund unklar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Lagerfachkraft</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Markiert den Befund als unklar; stößt Prüfung oder Sperre an. Serviceleitung bezieht ihn in die Fallentscheidung ein.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Befund, Quelle, Zeitpunkt und gegebenenfalls Sperrkennzeichen.</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Regel oder Kapazität reicht nicht aus</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Betriebsleitung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Grenzt den Pilot ein, pausiert oder beendet ihn; sichert Vertretung und Prüfdauer.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Regelversion, Stopentscheidung, Reviewtermin und Ressourcenentscheidung.</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Konkrete Vertrags Garantie Haftungs oder Datenfrage</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Fachprüfung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Bearbeitet nur die begrenzte Frage oder fordert Unterlagen nach. Serviceleitung führt das Ergebnis zurück.</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Prüfauftrag, Unterlagenliste, Ergebnis oder offener Punkt.</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Beanstandung einer betroffenen Person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Beschwerdekanal</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Nimmt auf und löst erneute menschliche Prüfung durch eine andere Fallrolle aus.</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Eingang, Frist, Ergebnis und Hinweis auf erneute Prüfung.</w:t>
            </w:r>
          </w:p>
        </w:tc>
      </w:tr>
    </w:tbl>
    <w:p>
      <w:r>
        <w:br w:type="page"/>
      </w:r>
    </w:p>
    <w:p>
      <w:pPr>
        <w:spacing w:before="160" w:after="80"/>
        <w:keepNext/>
      </w:pPr>
      <w:r>
        <w:rPr>
          <w:rFonts w:ascii="Arial" w:hAnsi="Arial"/>
          <w:b/>
          <w:i w:val="0"/>
          <w:color w:val="000000"/>
          <w:sz w:val="26"/>
        </w:rPr>
        <w:t>Stop und Eskalation für R 184</w:t>
      </w:r>
    </w:p>
    <w:p>
      <w:pPr>
        <w:spacing w:after="60" w:line="259" w:lineRule="auto"/>
      </w:pPr>
      <w:r>
        <w:rPr>
          <w:rFonts w:ascii="Arial" w:hAnsi="Arial"/>
          <w:b w:val="0"/>
          <w:i w:val="0"/>
          <w:color w:val="1A1A1A"/>
          <w:sz w:val="18"/>
        </w:rPr>
        <w:t>Jeder Stopp verhindert eine Kundenentscheidung, bis eine zuständige Rolle die offene Frage oder die Regelabweichung bearbeiten kann.</w:t>
      </w:r>
    </w:p>
    <w:tbl>
      <w:tblPr>
        <w:tblW w:type="auto" w:w="0"/>
        <w:jc w:val="center"/>
        <w:tblLayout w:type="fixed"/>
        <w:tblLook w:firstColumn="1" w:firstRow="1" w:lastColumn="0" w:lastRow="0" w:noHBand="0" w:noVBand="1" w:val="04A0"/>
      </w:tblPr>
      <w:tblGrid>
        <w:gridCol w:w="2657"/>
        <w:gridCol w:w="2657"/>
        <w:gridCol w:w="2657"/>
        <w:gridCol w:w="2657"/>
      </w:tblGrid>
      <w:tr>
        <w:trPr>
          <w:tblHeader w:val="true"/>
          <w:cantSplit/>
        </w:trPr>
        <w:tc>
          <w:tcPr>
            <w:tcW w:type="dxa" w:w="223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Auslöser</w:t>
            </w:r>
          </w:p>
        </w:tc>
        <w:tc>
          <w:tcPr>
            <w:tcW w:type="dxa" w:w="331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Sofortige Handlung</w:t>
            </w:r>
          </w:p>
        </w:tc>
        <w:tc>
          <w:tcPr>
            <w:tcW w:type="dxa" w:w="230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Ziel</w:t>
            </w:r>
          </w:p>
        </w:tc>
        <w:tc>
          <w:tcPr>
            <w:tcW w:type="dxa" w:w="4176"/>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Mindestnachweis</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Sicherheitsrelevantes Teil</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Entwurf nicht versenden und Vorgang markieren.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Serviceleitung und Lagerfachkraft</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Fall ID, Produktbezug, Zeitpunkt, Stopgrund</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Zusage oder Ablehnung ohne Beleg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Entwurf verwerfen oder auf Rückfrage begrenzen.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Serviceleitung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Fehlender Beleg, Entwurfsversion, Begründung</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Text weicht von der Regel ab</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Kein Abschluss; Regel und Entwurf vergleichen.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Serviceleitung, bei Regelproblem Betriebsleitung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Regelversion, Abweichung, Entscheidung</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Frühere Zusage wird bestritten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Keine automatische Wiederholung oder Ablehnung.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Serviceleitung; erneute menschliche Prüfung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Kundenhinweis, bisherige Nachricht, Prüfauftrag</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Servicekraft kann Vorschlag nicht erklären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Nicht als geprüft kennzeichnen; Rückfrage oder Eskalation.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Serviceleitung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Welche Information oder Regel fehlt</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Vertrag, Garantie, Haftung oder Datenfrage</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Engen Fachprüfauftrag formulieren.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Fachprüfung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Sachverhalt, Rechtsraum, Unterlagen, Stichtag, offene Frage</w:t>
            </w:r>
          </w:p>
        </w:tc>
      </w:tr>
    </w:tbl>
    <w:p>
      <w:pPr>
        <w:spacing w:before="120" w:after="80"/>
        <w:keepNext/>
      </w:pPr>
      <w:r>
        <w:rPr>
          <w:rFonts w:ascii="Arial" w:hAnsi="Arial"/>
          <w:b/>
          <w:i w:val="0"/>
          <w:color w:val="000000"/>
          <w:sz w:val="21"/>
        </w:rPr>
        <w:t>Minimale Entscheidungsspur</w:t>
      </w:r>
    </w:p>
    <w:p>
      <w:pPr>
        <w:spacing w:after="100" w:line="259" w:lineRule="auto"/>
      </w:pPr>
      <w:r>
        <w:rPr>
          <w:rFonts w:ascii="Arial" w:hAnsi="Arial"/>
          <w:b w:val="0"/>
          <w:i w:val="0"/>
          <w:color w:val="1A1A1A"/>
          <w:sz w:val="17"/>
        </w:rPr>
        <w:t>Dokumentiert werden: Fall ID; Zweck und Grenze des KI Einsatzes; zugelassene Eingaben; Modell Prompt und Regelversion mit Zeit; Originalunterlagen; Entwurf; menschliche Änderung, Freigabe oder Verwerfung mit Grund; Eskalation und Ergebnis; vorgesehene nicht versendete Nachricht; Feedback oder Korrektur. Die Spur macht den Ablauf prüfbar, beweist aber nicht, dass die Entscheidung richtig war.</w:t>
      </w:r>
    </w:p>
    <w:p>
      <w:pPr>
        <w:spacing w:before="160" w:after="80"/>
        <w:keepNext/>
      </w:pPr>
      <w:r>
        <w:rPr>
          <w:rFonts w:ascii="Arial" w:hAnsi="Arial"/>
          <w:b/>
          <w:i w:val="0"/>
          <w:color w:val="000000"/>
          <w:sz w:val="26"/>
        </w:rPr>
        <w:t>Blankovorlage für einen eigenen fiktiven Fall</w:t>
      </w:r>
    </w:p>
    <w:p>
      <w:pPr>
        <w:spacing w:after="80" w:line="259" w:lineRule="auto"/>
      </w:pPr>
      <w:r>
        <w:rPr>
          <w:rFonts w:ascii="Arial" w:hAnsi="Arial"/>
          <w:b w:val="0"/>
          <w:i w:val="0"/>
          <w:color w:val="1A1A1A"/>
          <w:sz w:val="17"/>
        </w:rPr>
        <w:t>Schreibe so konkret, dass eine andere Person erkennt, was die KI vorbereitet, wo der Vorgang stoppt und wer begründet weiterarbeitet.</w:t>
      </w:r>
    </w:p>
    <w:tbl>
      <w:tblPr>
        <w:tblW w:type="auto" w:w="0"/>
        <w:jc w:val="center"/>
        <w:tblLayout w:type="fixed"/>
        <w:tblLook w:firstColumn="1" w:firstRow="1" w:lastColumn="0" w:lastRow="0" w:noHBand="0" w:noVBand="1" w:val="04A0"/>
      </w:tblPr>
      <w:tblGrid>
        <w:gridCol w:w="5314"/>
        <w:gridCol w:w="5314"/>
      </w:tblGrid>
      <w:tr>
        <w:trPr>
          <w:tblHeader w:val="true"/>
          <w:cantSplit/>
        </w:trPr>
        <w:tc>
          <w:tcPr>
            <w:tcW w:type="dxa" w:w="3888"/>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EAEAEA"/>
          </w:tcPr>
          <w:p>
            <w:pPr>
              <w:spacing w:after="0" w:before="0" w:line="247" w:lineRule="auto"/>
              <w:jc w:val="center"/>
            </w:pPr>
            <w:r/>
            <w:r>
              <w:rPr>
                <w:rFonts w:ascii="Arial" w:hAnsi="Arial"/>
                <w:b/>
                <w:i w:val="0"/>
                <w:color w:val="000000"/>
                <w:sz w:val="16"/>
              </w:rPr>
              <w:t>Feld</w:t>
            </w:r>
          </w:p>
        </w:tc>
        <w:tc>
          <w:tcPr>
            <w:tcW w:type="dxa" w:w="8136"/>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EAEAEA"/>
          </w:tcPr>
          <w:p>
            <w:pPr>
              <w:spacing w:after="0" w:before="0" w:line="247" w:lineRule="auto"/>
              <w:jc w:val="center"/>
            </w:pPr>
            <w:r/>
            <w:r>
              <w:rPr>
                <w:rFonts w:ascii="Arial" w:hAnsi="Arial"/>
                <w:b/>
                <w:i w:val="0"/>
                <w:color w:val="000000"/>
                <w:sz w:val="16"/>
              </w:rPr>
              <w:t>Eintrag</w:t>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Fall ID und fiktiver Vorgang</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Welche Entscheidung bereitet die KI vor?</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Was darf weder automatisch entschieden noch versendet werden?</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Welche Nicht KI Alternative wird mitgeprüft?</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Vertretungsrolle und Zeitfenster für die Prüfung</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80" w:before="0" w:line="96" w:lineRule="auto"/>
      </w:pPr>
    </w:p>
    <w:p>
      <w:pPr>
        <w:spacing w:after="60" w:line="259" w:lineRule="auto"/>
      </w:pPr>
      <w:r>
        <w:rPr>
          <w:rFonts w:ascii="Arial" w:hAnsi="Arial"/>
          <w:b/>
          <w:i w:val="0"/>
          <w:color w:val="000000"/>
          <w:sz w:val="20"/>
        </w:rPr>
        <w:t>Verantwortungsmatrix zum Ausfüllen</w:t>
      </w:r>
    </w:p>
    <w:tbl>
      <w:tblPr>
        <w:tblW w:type="auto" w:w="0"/>
        <w:jc w:val="center"/>
        <w:tblLayout w:type="fixed"/>
        <w:tblLook w:firstColumn="1" w:firstRow="1" w:lastColumn="0" w:lastRow="0" w:noHBand="0" w:noVBand="1" w:val="04A0"/>
      </w:tblPr>
      <w:tblGrid>
        <w:gridCol w:w="2657"/>
        <w:gridCol w:w="2657"/>
        <w:gridCol w:w="2657"/>
        <w:gridCol w:w="2657"/>
      </w:tblGrid>
      <w:tr>
        <w:trPr>
          <w:tblHeader w:val="true"/>
          <w:cantSplit/>
        </w:trPr>
        <w:tc>
          <w:tcPr>
            <w:tcW w:type="dxa" w:w="2376"/>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Auslöser oder Schritt</w:t>
            </w:r>
          </w:p>
        </w:tc>
        <w:tc>
          <w:tcPr>
            <w:tcW w:type="dxa" w:w="223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Entscheidende Rolle</w:t>
            </w:r>
          </w:p>
        </w:tc>
        <w:tc>
          <w:tcPr>
            <w:tcW w:type="dxa" w:w="3456"/>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Wissen und Eingriff</w:t>
            </w:r>
          </w:p>
        </w:tc>
        <w:tc>
          <w:tcPr>
            <w:tcW w:type="dxa" w:w="3960"/>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Gegenprüfung Stop Nachweis</w:t>
            </w:r>
          </w:p>
        </w:tc>
      </w:tr>
      <w:tr>
        <w:trPr>
          <w:cantSplit/>
          <w:trHeight w:val="920" w:hRule="atLeas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KI Entwurf liegt vor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r>
          </w:p>
        </w:tc>
      </w:tr>
      <w:tr>
        <w:trPr>
          <w:cantSplit/>
          <w:trHeight w:val="920" w:hRule="atLeas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Fehlende oder widersprüchliche Information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r>
          </w:p>
        </w:tc>
      </w:tr>
      <w:tr>
        <w:trPr>
          <w:cantSplit/>
          <w:trHeight w:val="920" w:hRule="atLeas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Hohe mögliche Folge oder Ausnahmefall</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r>
          </w:p>
        </w:tc>
      </w:tr>
    </w:tbl>
    <w:p>
      <w:pPr>
        <w:spacing w:before="160" w:after="80"/>
        <w:keepNext/>
      </w:pPr>
      <w:r>
        <w:rPr>
          <w:rFonts w:ascii="Arial" w:hAnsi="Arial"/>
          <w:b/>
          <w:i w:val="0"/>
          <w:color w:val="000000"/>
          <w:sz w:val="26"/>
        </w:rPr>
        <w:t>Blankovorlage fortgesetzt</w:t>
      </w:r>
    </w:p>
    <w:tbl>
      <w:tblPr>
        <w:tblW w:type="auto" w:w="0"/>
        <w:jc w:val="center"/>
        <w:tblLayout w:type="fixed"/>
        <w:tblLook w:firstColumn="1" w:firstRow="1" w:lastColumn="0" w:lastRow="0" w:noHBand="0" w:noVBand="1" w:val="04A0"/>
      </w:tblPr>
      <w:tblGrid>
        <w:gridCol w:w="2657"/>
        <w:gridCol w:w="2657"/>
        <w:gridCol w:w="2657"/>
        <w:gridCol w:w="2657"/>
      </w:tblGrid>
      <w:tr>
        <w:trPr>
          <w:tblHeader w:val="true"/>
          <w:cantSplit/>
        </w:trPr>
        <w:tc>
          <w:tcPr>
            <w:tcW w:type="dxa" w:w="2376"/>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5"/>
              </w:rPr>
              <w:t>Auslöser oder Schritt</w:t>
            </w:r>
          </w:p>
        </w:tc>
        <w:tc>
          <w:tcPr>
            <w:tcW w:type="dxa" w:w="223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5"/>
              </w:rPr>
              <w:t>Entscheidende Rolle</w:t>
            </w:r>
          </w:p>
        </w:tc>
        <w:tc>
          <w:tcPr>
            <w:tcW w:type="dxa" w:w="3456"/>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5"/>
              </w:rPr>
              <w:t>Wissen und Eingriff</w:t>
            </w:r>
          </w:p>
        </w:tc>
        <w:tc>
          <w:tcPr>
            <w:tcW w:type="dxa" w:w="3960"/>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5"/>
              </w:rPr>
              <w:t>Gegenprüfung Stop Nachweis</w:t>
            </w:r>
          </w:p>
        </w:tc>
      </w:tr>
      <w:tr>
        <w:trPr>
          <w:cantSplit/>
          <w:trHeight w:val="920" w:hRule="atLeas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Regel Kapazität oder Vertretung reichen nicht aus</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r>
          </w:p>
        </w:tc>
      </w:tr>
      <w:tr>
        <w:trPr>
          <w:cantSplit/>
          <w:trHeight w:val="920" w:hRule="atLeas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Fachfrage mit konkretem Anlass</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r>
          </w:p>
        </w:tc>
      </w:tr>
      <w:tr>
        <w:trPr>
          <w:cantSplit/>
          <w:trHeight w:val="920" w:hRule="atLeas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Beschwerde oder Korrektur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r>
          </w:p>
        </w:tc>
      </w:tr>
    </w:tbl>
    <w:p>
      <w:pPr>
        <w:spacing w:before="160" w:after="80"/>
        <w:keepNext/>
      </w:pPr>
      <w:r>
        <w:rPr>
          <w:rFonts w:ascii="Arial" w:hAnsi="Arial"/>
          <w:b/>
          <w:i w:val="0"/>
          <w:color w:val="000000"/>
          <w:sz w:val="26"/>
        </w:rPr>
        <w:t>Drei Prüfaufgaben</w:t>
      </w:r>
    </w:p>
    <w:p>
      <w:pPr>
        <w:spacing w:after="0" w:line="259" w:lineRule="auto"/>
      </w:pPr>
      <w:r>
        <w:rPr>
          <w:rFonts w:ascii="Arial" w:hAnsi="Arial"/>
          <w:b/>
          <w:i w:val="0"/>
          <w:color w:val="000000"/>
          <w:sz w:val="18"/>
        </w:rPr>
        <w:t xml:space="preserve">1 Wissen  </w:t>
      </w:r>
      <w:r>
        <w:rPr>
          <w:rFonts w:ascii="Arial" w:hAnsi="Arial"/>
          <w:b w:val="0"/>
          <w:i w:val="0"/>
          <w:color w:val="1A1A1A"/>
          <w:sz w:val="18"/>
        </w:rPr>
        <w:t>Welche einzelne fehlende Information hindert die entscheidende Rolle daran, den KI Entwurf verantwortlich zu bestätigen? Wie wird sie beschafft oder als Lücke dokumentiert?</w:t>
      </w:r>
    </w:p>
    <w:tbl>
      <w:tblPr>
        <w:tblW w:type="auto" w:w="0"/>
        <w:jc w:val="center"/>
        <w:tblLayout w:type="fixed"/>
        <w:tblLook w:firstColumn="1" w:firstRow="1" w:lastColumn="0" w:lastRow="0" w:noHBand="0" w:noVBand="1" w:val="04A0"/>
      </w:tblPr>
      <w:tblGrid>
        <w:gridCol w:w="10628"/>
      </w:tblGrid>
      <w:tr>
        <w:trPr>
          <w:trHeight w:val="580" w:hRule="atLeast"/>
        </w:trPr>
        <w:tc>
          <w:tcPr>
            <w:tcW w:type="dxa" w:w="12024"/>
            <w:vAlign w:val="top"/>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40" w:before="0" w:line="96" w:lineRule="auto"/>
      </w:pPr>
    </w:p>
    <w:p>
      <w:pPr>
        <w:spacing w:after="0" w:line="259" w:lineRule="auto"/>
      </w:pPr>
      <w:r>
        <w:rPr>
          <w:rFonts w:ascii="Arial" w:hAnsi="Arial"/>
          <w:b/>
          <w:i w:val="0"/>
          <w:color w:val="000000"/>
          <w:sz w:val="18"/>
        </w:rPr>
        <w:t xml:space="preserve">2 Eingriff  </w:t>
      </w:r>
      <w:r>
        <w:rPr>
          <w:rFonts w:ascii="Arial" w:hAnsi="Arial"/>
          <w:b w:val="0"/>
          <w:i w:val="0"/>
          <w:color w:val="1A1A1A"/>
          <w:sz w:val="18"/>
        </w:rPr>
        <w:t>Formuliere ein Stoppsignal: Wer stoppt wann, was wird technisch oder organisatorisch angehalten und wer entscheidet danach?</w:t>
      </w:r>
    </w:p>
    <w:tbl>
      <w:tblPr>
        <w:tblW w:type="auto" w:w="0"/>
        <w:jc w:val="center"/>
        <w:tblLayout w:type="fixed"/>
        <w:tblLook w:firstColumn="1" w:firstRow="1" w:lastColumn="0" w:lastRow="0" w:noHBand="0" w:noVBand="1" w:val="04A0"/>
      </w:tblPr>
      <w:tblGrid>
        <w:gridCol w:w="10628"/>
      </w:tblGrid>
      <w:tr>
        <w:trPr>
          <w:trHeight w:val="580" w:hRule="atLeast"/>
        </w:trPr>
        <w:tc>
          <w:tcPr>
            <w:tcW w:type="dxa" w:w="12024"/>
            <w:vAlign w:val="top"/>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40" w:before="0" w:line="96" w:lineRule="auto"/>
      </w:pPr>
    </w:p>
    <w:p>
      <w:pPr>
        <w:spacing w:after="0" w:line="259" w:lineRule="auto"/>
      </w:pPr>
      <w:r>
        <w:rPr>
          <w:rFonts w:ascii="Arial" w:hAnsi="Arial"/>
          <w:b/>
          <w:i w:val="0"/>
          <w:color w:val="000000"/>
          <w:sz w:val="18"/>
        </w:rPr>
        <w:t xml:space="preserve">3 Rechenschaft  </w:t>
      </w:r>
      <w:r>
        <w:rPr>
          <w:rFonts w:ascii="Arial" w:hAnsi="Arial"/>
          <w:b w:val="0"/>
          <w:i w:val="0"/>
          <w:color w:val="1A1A1A"/>
          <w:sz w:val="18"/>
        </w:rPr>
        <w:t>Welche drei Einträge zeigen später, dass der Entwurf betrachtet und nicht nur angeklickt wurde?</w:t>
      </w:r>
    </w:p>
    <w:tbl>
      <w:tblPr>
        <w:tblW w:type="auto" w:w="0"/>
        <w:jc w:val="center"/>
        <w:tblLayout w:type="fixed"/>
        <w:tblLook w:firstColumn="1" w:firstRow="1" w:lastColumn="0" w:lastRow="0" w:noHBand="0" w:noVBand="1" w:val="04A0"/>
      </w:tblPr>
      <w:tblGrid>
        <w:gridCol w:w="10628"/>
      </w:tblGrid>
      <w:tr>
        <w:trPr>
          <w:trHeight w:val="580" w:hRule="atLeast"/>
        </w:trPr>
        <w:tc>
          <w:tcPr>
            <w:tcW w:type="dxa" w:w="12024"/>
            <w:vAlign w:val="top"/>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40" w:before="0" w:line="96" w:lineRule="auto"/>
      </w:pPr>
    </w:p>
    <w:p>
      <w:pPr>
        <w:spacing w:before="160" w:after="80"/>
        <w:keepNext/>
      </w:pPr>
      <w:r>
        <w:rPr>
          <w:rFonts w:ascii="Arial" w:hAnsi="Arial"/>
          <w:b/>
          <w:i w:val="0"/>
          <w:color w:val="000000"/>
          <w:sz w:val="26"/>
        </w:rPr>
        <w:t>Anlassbezogener Fachprüfauftrag</w:t>
      </w:r>
    </w:p>
    <w:p>
      <w:pPr>
        <w:spacing w:after="60" w:line="259" w:lineRule="auto"/>
      </w:pPr>
      <w:r>
        <w:rPr>
          <w:rFonts w:ascii="Arial" w:hAnsi="Arial"/>
          <w:b w:val="0"/>
          <w:i w:val="0"/>
          <w:color w:val="1A1A1A"/>
          <w:sz w:val="17"/>
        </w:rPr>
        <w:t>Dieser Auftrag ist keine Rechtsbewertung. Er sammelt den konkreten Sachverhalt, damit eine zuständige Fachperson die begrenzte Frage bearbeiten oder fehlende Angaben zurückgeben kann.</w:t>
      </w:r>
    </w:p>
    <w:tbl>
      <w:tblPr>
        <w:tblW w:type="auto" w:w="0"/>
        <w:jc w:val="center"/>
        <w:tblLayout w:type="fixed"/>
        <w:tblLook w:firstColumn="1" w:firstRow="1" w:lastColumn="0" w:lastRow="0" w:noHBand="0" w:noVBand="1" w:val="04A0"/>
      </w:tblPr>
      <w:tblGrid>
        <w:gridCol w:w="5314"/>
        <w:gridCol w:w="5314"/>
      </w:tblGrid>
      <w:tr>
        <w:trPr>
          <w:tblHeader w:val="true"/>
          <w:cantSplit/>
        </w:trPr>
        <w:tc>
          <w:tcPr>
            <w:tcW w:type="dxa" w:w="446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EAEAEA"/>
          </w:tcPr>
          <w:p>
            <w:pPr>
              <w:spacing w:after="0" w:before="0" w:line="247" w:lineRule="auto"/>
              <w:jc w:val="center"/>
            </w:pPr>
            <w:r/>
            <w:r>
              <w:rPr>
                <w:rFonts w:ascii="Arial" w:hAnsi="Arial"/>
                <w:b/>
                <w:i w:val="0"/>
                <w:color w:val="000000"/>
                <w:sz w:val="16"/>
              </w:rPr>
              <w:t>Angabe</w:t>
            </w:r>
          </w:p>
        </w:tc>
        <w:tc>
          <w:tcPr>
            <w:tcW w:type="dxa" w:w="7560"/>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EAEAEA"/>
          </w:tcPr>
          <w:p>
            <w:pPr>
              <w:spacing w:after="0" w:before="0" w:line="247" w:lineRule="auto"/>
              <w:jc w:val="center"/>
            </w:pPr>
            <w:r/>
            <w:r>
              <w:rPr>
                <w:rFonts w:ascii="Arial" w:hAnsi="Arial"/>
                <w:b/>
                <w:i w:val="0"/>
                <w:color w:val="000000"/>
                <w:sz w:val="16"/>
              </w:rPr>
              <w:t>Eintrag</w:t>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Konkrete Frage</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Produkt Fall mögliche Folge</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Vertrag Garantie oder sonstige Unterlage</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Beteiligte Systeme und Datenfluss</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t>Rechtsraum und Stichtag</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r>
        <w:trPr>
          <w:cantSplit/>
        </w:trPr>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t>Entscheidungsfrist fehlende Unterlagen zuständige Fachrolle</w:t>
            </w:r>
          </w:p>
        </w:tc>
        <w:tc>
          <w:tcPr>
            <w:tcW w:type="dxa" w:w="531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6"/>
              </w:rPr>
            </w:r>
          </w:p>
        </w:tc>
      </w:tr>
    </w:tbl>
    <w:p>
      <w:r>
        <w:br w:type="page"/>
      </w:r>
    </w:p>
    <w:p>
      <w:pPr>
        <w:spacing w:before="160" w:after="80"/>
        <w:keepNext/>
      </w:pPr>
      <w:r>
        <w:rPr>
          <w:rFonts w:ascii="Arial" w:hAnsi="Arial"/>
          <w:b/>
          <w:i w:val="0"/>
          <w:color w:val="000000"/>
          <w:sz w:val="26"/>
        </w:rPr>
        <w:t>Unterricht 90 Minuten Der Klick hat keinen Namen</w:t>
      </w:r>
    </w:p>
    <w:p>
      <w:pPr>
        <w:spacing w:after="80" w:line="259" w:lineRule="auto"/>
      </w:pPr>
      <w:r>
        <w:rPr>
          <w:rFonts w:ascii="Arial" w:hAnsi="Arial"/>
          <w:b w:val="0"/>
          <w:i w:val="0"/>
          <w:color w:val="1A1A1A"/>
          <w:sz w:val="17"/>
        </w:rPr>
        <w:t>Lernprodukt: Jede Gruppe gibt eine ausgefüllte Verantwortungsmatrix, zwei begründete Stoppsignale und eine minimale Entscheidungsspur für R 184 ab. Verschiedene Lösungen sind möglich, wenn sie Wissen, Eingriffsrecht, Nachweis und Rückmeldemöglichkeit nachvollziehbar verbinden.</w:t>
      </w:r>
    </w:p>
    <w:tbl>
      <w:tblPr>
        <w:tblW w:type="auto" w:w="0"/>
        <w:jc w:val="center"/>
        <w:tblLayout w:type="fixed"/>
        <w:tblLook w:firstColumn="1" w:firstRow="1" w:lastColumn="0" w:lastRow="0" w:noHBand="0" w:noVBand="1" w:val="04A0"/>
      </w:tblPr>
      <w:tblGrid>
        <w:gridCol w:w="3543"/>
        <w:gridCol w:w="3543"/>
        <w:gridCol w:w="3543"/>
      </w:tblGrid>
      <w:tr>
        <w:trPr>
          <w:tblHeader w:val="true"/>
          <w:cantSplit/>
        </w:trPr>
        <w:tc>
          <w:tcPr>
            <w:tcW w:type="dxa" w:w="1080"/>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5"/>
              </w:rPr>
              <w:t>Zeit</w:t>
            </w:r>
          </w:p>
        </w:tc>
        <w:tc>
          <w:tcPr>
            <w:tcW w:type="dxa" w:w="302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5"/>
              </w:rPr>
              <w:t>Arbeitsphase</w:t>
            </w:r>
          </w:p>
        </w:tc>
        <w:tc>
          <w:tcPr>
            <w:tcW w:type="dxa" w:w="7920"/>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5"/>
              </w:rPr>
              <w:t>Ergebnis</w:t>
            </w:r>
          </w:p>
        </w:tc>
      </w:tr>
      <w:tr>
        <w:trPr>
          <w:cantSplit/>
        </w:trPr>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0 bis 10</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Fall lesen und markieren</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Was weiß die Servicekraft? Wo kann sie handeln? Wer müsste später erklären?</w:t>
            </w:r>
          </w:p>
        </w:tc>
      </w:tr>
      <w:tr>
        <w:trPr>
          <w:cantSplit/>
        </w:trPr>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10 bis 25</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F A und F B</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Textentwurf, Sachverhaltsbewertung und Kundenentscheidung trennen; drei Hypothesen für Verantwortungsverlust und eine Nicht KI Option.</w:t>
            </w:r>
          </w:p>
        </w:tc>
      </w:tr>
      <w:tr>
        <w:trPr>
          <w:cantSplit/>
        </w:trPr>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25 bis 40</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F D und F C</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Kartenereignis Kartonöffnung unklar Sicherheitsbezug Termin heute: Stopp, Rückfrage und begrenzte Arbeitsfrage.</w:t>
            </w:r>
          </w:p>
        </w:tc>
      </w:tr>
      <w:tr>
        <w:trPr>
          <w:cantSplit/>
        </w:trPr>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40 bis 60</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K Exploration und Reflexion</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Rollenrunde Servicekraft Lagerfachkraft Werkstatt und Betriebsleitung: Interesse und fehlende Information.</w:t>
            </w:r>
          </w:p>
        </w:tc>
      </w:tr>
      <w:tr>
        <w:trPr>
          <w:cantSplit/>
        </w:trPr>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60 bis 73</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K Entscheidung</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Matrix ausfüllen: Wissen, Eingriff, Nachweis und Vertretung; zwei Stoppauslöser bestimmen.</w:t>
            </w:r>
          </w:p>
        </w:tc>
      </w:tr>
      <w:tr>
        <w:trPr>
          <w:cantSplit/>
        </w:trPr>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73 bis 83</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R Fachprüfauftrag</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5"/>
              </w:rPr>
              <w:t>Nur relevante Frage und fehlende Unterlagen notieren; kein Rechtsurteil formulieren.</w:t>
            </w:r>
          </w:p>
        </w:tc>
      </w:tr>
      <w:tr>
        <w:trPr>
          <w:cantSplit/>
        </w:trPr>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83 bis 90</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Peer Review und Revision</w:t>
            </w:r>
          </w:p>
        </w:tc>
        <w:tc>
          <w:tcPr>
            <w:tcW w:type="dxa" w:w="3543"/>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5"/>
              </w:rPr>
              <w:t>Zweite Gruppe testet die Matrix, markiert eine Lücke und die erste Gruppe ergänzt sie.</w:t>
            </w:r>
          </w:p>
        </w:tc>
      </w:tr>
    </w:tbl>
    <w:p>
      <w:pPr>
        <w:spacing w:before="160" w:after="80"/>
        <w:keepNext/>
      </w:pPr>
      <w:r>
        <w:rPr>
          <w:rFonts w:ascii="Arial" w:hAnsi="Arial"/>
          <w:b/>
          <w:i w:val="0"/>
          <w:color w:val="000000"/>
          <w:sz w:val="26"/>
        </w:rPr>
        <w:t>Bewertungsraster</w:t>
      </w:r>
    </w:p>
    <w:p>
      <w:pPr>
        <w:spacing w:after="60" w:line="259" w:lineRule="auto"/>
      </w:pPr>
      <w:r>
        <w:rPr>
          <w:rFonts w:ascii="Arial" w:hAnsi="Arial"/>
          <w:b w:val="0"/>
          <w:i w:val="0"/>
          <w:color w:val="1A1A1A"/>
          <w:sz w:val="17"/>
        </w:rPr>
        <w:t>Auswertung: maximal 12 Punkte. Bewertet werden Begründung, Fallgrenze und überprüfbare Rollenverteilung. Die Punktzahl misst keine tatsächliche Lernwirkung und keine Qualität eines produktiven KI Systems.</w:t>
      </w:r>
    </w:p>
    <w:tbl>
      <w:tblPr>
        <w:tblW w:type="auto" w:w="0"/>
        <w:jc w:val="center"/>
        <w:tblLayout w:type="fixed"/>
        <w:tblLook w:firstColumn="1" w:firstRow="1" w:lastColumn="0" w:lastRow="0" w:noHBand="0" w:noVBand="1" w:val="04A0"/>
      </w:tblPr>
      <w:tblGrid>
        <w:gridCol w:w="2657"/>
        <w:gridCol w:w="2657"/>
        <w:gridCol w:w="2657"/>
        <w:gridCol w:w="2657"/>
      </w:tblGrid>
      <w:tr>
        <w:trPr>
          <w:tblHeader w:val="true"/>
          <w:cantSplit/>
        </w:trPr>
        <w:tc>
          <w:tcPr>
            <w:tcW w:type="dxa" w:w="223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Kriterium</w:t>
            </w:r>
          </w:p>
        </w:tc>
        <w:tc>
          <w:tcPr>
            <w:tcW w:type="dxa" w:w="2376"/>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0 fehlt</w:t>
            </w:r>
          </w:p>
        </w:tc>
        <w:tc>
          <w:tcPr>
            <w:tcW w:type="dxa" w:w="3384"/>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1 teilweise</w:t>
            </w:r>
          </w:p>
        </w:tc>
        <w:tc>
          <w:tcPr>
            <w:tcW w:type="dxa" w:w="4032"/>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000000"/>
          </w:tcPr>
          <w:p>
            <w:pPr>
              <w:spacing w:after="0" w:before="0" w:line="247" w:lineRule="auto"/>
              <w:jc w:val="center"/>
            </w:pPr>
            <w:r/>
            <w:r>
              <w:rPr>
                <w:rFonts w:ascii="Arial" w:hAnsi="Arial"/>
                <w:b/>
                <w:i w:val="0"/>
                <w:color w:val="FFFFFF"/>
                <w:sz w:val="14"/>
              </w:rPr>
              <w:t>2 nachvollziehbar</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Fallverständnis</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Entwurf und Entscheidung gleichgesetzt.</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Grenze genannt, Lücke oder Folge unklar.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Entwurf, Sachverhalt und Entscheidung getrennt; Fallgrenze konkret.</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Wissen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Nur Freigabeaufforderung.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Einige Unterlagen genannt.</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Unterlagen, Lücke und Weg zur Klärung konkret.</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Eingriff und Vertretung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Stopp nicht ausführbar.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Stopprecht ohne Zeit oder Vertretung.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Rolle, Zeit, Handlung, nächste Instanz und Vertretung wirken zusammen.</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Rechenschaft und Nachweis</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Nur geprüft oder ein Name.</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Entscheidung oder Grund teilweise erkennbar.</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Entwurfsversion, Entscheidung, Grund, Regel und Ergebnis prüfbar.</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Rückmeldung und Gegenprüfung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Kein Weg zurück in den Prozess.</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Beschwerdeweg oder Gegenprüfung allgemein.</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4"/>
              </w:rPr>
              <w:t>Beschwerdeweg, erneute menschliche Prüfung und andere Fallrolle zugeordnet.</w:t>
            </w:r>
          </w:p>
        </w:tc>
      </w:tr>
      <w:tr>
        <w:trPr>
          <w:cantSplit/>
        </w:trPr>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Grenze und Fachprüfauftrag</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Pauschale Freigabe behauptet.</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Fachprüfung genannt, Frage zu breit.</w:t>
            </w:r>
          </w:p>
        </w:tc>
        <w:tc>
          <w:tcPr>
            <w:tcW w:type="dxa" w:w="2657"/>
            <w:vAlign w:val="cente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shd w:fill="F4F4F4"/>
          </w:tcPr>
          <w:p>
            <w:pPr>
              <w:spacing w:after="0" w:before="0" w:line="247" w:lineRule="auto"/>
              <w:jc w:val="left"/>
            </w:pPr>
            <w:r/>
            <w:r>
              <w:rPr>
                <w:rFonts w:ascii="Arial" w:hAnsi="Arial"/>
                <w:b w:val="0"/>
                <w:i w:val="0"/>
                <w:color w:val="1A1A1A"/>
                <w:sz w:val="14"/>
              </w:rPr>
              <w:t>Anlass, enge Frage, Unterlagen und Rückgabe klar.</w:t>
            </w:r>
          </w:p>
        </w:tc>
      </w:tr>
    </w:tbl>
    <w:p>
      <w:r>
        <w:br w:type="page"/>
      </w:r>
    </w:p>
    <w:p>
      <w:pPr>
        <w:spacing w:before="160" w:after="80"/>
        <w:keepNext/>
      </w:pPr>
      <w:r>
        <w:rPr>
          <w:rFonts w:ascii="Arial" w:hAnsi="Arial"/>
          <w:b/>
          <w:i w:val="0"/>
          <w:color w:val="000000"/>
          <w:sz w:val="26"/>
        </w:rPr>
        <w:t>Gegenprobe Der negative Test</w:t>
      </w:r>
    </w:p>
    <w:p>
      <w:pPr>
        <w:spacing w:after="100" w:line="259" w:lineRule="auto"/>
      </w:pPr>
      <w:r>
        <w:rPr>
          <w:rFonts w:ascii="Arial" w:hAnsi="Arial"/>
          <w:b w:val="0"/>
          <w:i w:val="0"/>
          <w:color w:val="1A1A1A"/>
          <w:sz w:val="18"/>
        </w:rPr>
        <w:t>Eine zweite Gruppe erhält dieselbe Matrix mit folgender Änderung: Die Servicekraft kann den Entwurf zwar ablehnen, sieht aber weder den Lagerbefund noch die Regelversion. Der Entwurf wurde im simulierten Ablauf mit „reviewed“ markiert, weil sie unter Zeitdruck auf „Senden“ geklickt hat. Keine tatsächliche Nachricht hat die Übung verlassen.</w:t>
      </w:r>
    </w:p>
    <w:p>
      <w:pPr>
        <w:spacing w:after="60" w:line="259" w:lineRule="auto"/>
      </w:pPr>
      <w:r>
        <w:rPr>
          <w:rFonts w:ascii="Arial" w:hAnsi="Arial"/>
          <w:b/>
          <w:i w:val="0"/>
          <w:color w:val="000000"/>
          <w:sz w:val="18"/>
        </w:rPr>
        <w:t>Prüft schriftlich:</w:t>
      </w:r>
    </w:p>
    <w:p>
      <w:pPr>
        <w:spacing w:after="20" w:line="259" w:lineRule="auto"/>
      </w:pPr>
      <w:r>
        <w:rPr>
          <w:rFonts w:ascii="Arial" w:hAnsi="Arial"/>
          <w:b w:val="0"/>
          <w:i w:val="0"/>
          <w:color w:val="1A1A1A"/>
          <w:sz w:val="17"/>
        </w:rPr>
        <w:t>1. Darf dieser Vorgang als verantwortungsvoll geprüft gelten? Begründet mit Wissen, Eingriff und Rechenschaft.</w:t>
      </w:r>
    </w:p>
    <w:tbl>
      <w:tblPr>
        <w:tblW w:type="auto" w:w="0"/>
        <w:jc w:val="center"/>
        <w:tblLayout w:type="fixed"/>
        <w:tblLook w:firstColumn="1" w:firstRow="1" w:lastColumn="0" w:lastRow="0" w:noHBand="0" w:noVBand="1" w:val="04A0"/>
      </w:tblPr>
      <w:tblGrid>
        <w:gridCol w:w="10628"/>
      </w:tblGrid>
      <w:tr>
        <w:trPr>
          <w:trHeight w:val="780" w:hRule="atLeast"/>
        </w:trPr>
        <w:tc>
          <w:tcPr>
            <w:tcW w:type="dxa" w:w="12024"/>
            <w:vAlign w:val="top"/>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40" w:before="0" w:line="96" w:lineRule="auto"/>
      </w:pPr>
    </w:p>
    <w:p>
      <w:pPr>
        <w:spacing w:after="20" w:line="259" w:lineRule="auto"/>
      </w:pPr>
      <w:r>
        <w:rPr>
          <w:rFonts w:ascii="Arial" w:hAnsi="Arial"/>
          <w:b w:val="0"/>
          <w:i w:val="0"/>
          <w:color w:val="1A1A1A"/>
          <w:sz w:val="17"/>
        </w:rPr>
        <w:t>2. Welcher Nachweis in der Entscheidungsspur fehlt oder widerlegt die Behauptung „reviewed“?</w:t>
      </w:r>
    </w:p>
    <w:tbl>
      <w:tblPr>
        <w:tblW w:type="auto" w:w="0"/>
        <w:jc w:val="center"/>
        <w:tblLayout w:type="fixed"/>
        <w:tblLook w:firstColumn="1" w:firstRow="1" w:lastColumn="0" w:lastRow="0" w:noHBand="0" w:noVBand="1" w:val="04A0"/>
      </w:tblPr>
      <w:tblGrid>
        <w:gridCol w:w="10628"/>
      </w:tblGrid>
      <w:tr>
        <w:trPr>
          <w:trHeight w:val="780" w:hRule="atLeast"/>
        </w:trPr>
        <w:tc>
          <w:tcPr>
            <w:tcW w:type="dxa" w:w="12024"/>
            <w:vAlign w:val="top"/>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40" w:before="0" w:line="96" w:lineRule="auto"/>
      </w:pPr>
    </w:p>
    <w:p>
      <w:pPr>
        <w:spacing w:after="20" w:line="259" w:lineRule="auto"/>
      </w:pPr>
      <w:r>
        <w:rPr>
          <w:rFonts w:ascii="Arial" w:hAnsi="Arial"/>
          <w:b w:val="0"/>
          <w:i w:val="0"/>
          <w:color w:val="1A1A1A"/>
          <w:sz w:val="17"/>
        </w:rPr>
        <w:t>3. Welcher Stopp muss greifen, wer übernimmt danach und welche Information muss vor einer neuen Entscheidung vorliegen?</w:t>
      </w:r>
    </w:p>
    <w:tbl>
      <w:tblPr>
        <w:tblW w:type="auto" w:w="0"/>
        <w:jc w:val="center"/>
        <w:tblLayout w:type="fixed"/>
        <w:tblLook w:firstColumn="1" w:firstRow="1" w:lastColumn="0" w:lastRow="0" w:noHBand="0" w:noVBand="1" w:val="04A0"/>
      </w:tblPr>
      <w:tblGrid>
        <w:gridCol w:w="10628"/>
      </w:tblGrid>
      <w:tr>
        <w:trPr>
          <w:trHeight w:val="780" w:hRule="atLeast"/>
        </w:trPr>
        <w:tc>
          <w:tcPr>
            <w:tcW w:type="dxa" w:w="12024"/>
            <w:vAlign w:val="top"/>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40" w:before="0" w:line="96" w:lineRule="auto"/>
      </w:pPr>
    </w:p>
    <w:p>
      <w:pPr>
        <w:spacing w:after="20" w:line="259" w:lineRule="auto"/>
      </w:pPr>
      <w:r>
        <w:rPr>
          <w:rFonts w:ascii="Arial" w:hAnsi="Arial"/>
          <w:b w:val="0"/>
          <w:i w:val="0"/>
          <w:color w:val="1A1A1A"/>
          <w:sz w:val="17"/>
        </w:rPr>
        <w:t>4. Welche Regel Zeit oder Vertretungsänderung verhindert, dass das gleiche Problem nur auf die nächste Person verschoben wird?</w:t>
      </w:r>
    </w:p>
    <w:tbl>
      <w:tblPr>
        <w:tblW w:type="auto" w:w="0"/>
        <w:jc w:val="center"/>
        <w:tblLayout w:type="fixed"/>
        <w:tblLook w:firstColumn="1" w:firstRow="1" w:lastColumn="0" w:lastRow="0" w:noHBand="0" w:noVBand="1" w:val="04A0"/>
      </w:tblPr>
      <w:tblGrid>
        <w:gridCol w:w="10628"/>
      </w:tblGrid>
      <w:tr>
        <w:trPr>
          <w:trHeight w:val="780" w:hRule="atLeast"/>
        </w:trPr>
        <w:tc>
          <w:tcPr>
            <w:tcW w:type="dxa" w:w="12024"/>
            <w:vAlign w:val="top"/>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80" w:type="dxa"/>
              <w:start w:w="100" w:type="dxa"/>
              <w:bottom w:w="80" w:type="dxa"/>
              <w:end w:w="100" w:type="dxa"/>
            </w:tcMar>
          </w:tcPr>
          <w:p>
            <w:pPr>
              <w:spacing w:after="0" w:before="0" w:line="247" w:lineRule="auto"/>
              <w:jc w:val="left"/>
            </w:pPr>
            <w:r/>
            <w:r>
              <w:rPr>
                <w:rFonts w:ascii="Arial" w:hAnsi="Arial"/>
                <w:b w:val="0"/>
                <w:i w:val="0"/>
                <w:color w:val="1A1A1A"/>
                <w:sz w:val="16"/>
              </w:rPr>
            </w:r>
          </w:p>
        </w:tc>
      </w:tr>
    </w:tbl>
    <w:p>
      <w:pPr>
        <w:spacing w:after="40" w:before="0" w:line="96" w:lineRule="auto"/>
      </w:pPr>
    </w:p>
    <w:p>
      <w:pPr>
        <w:spacing w:before="160" w:after="80"/>
        <w:keepNext/>
      </w:pPr>
      <w:r>
        <w:rPr>
          <w:rFonts w:ascii="Arial" w:hAnsi="Arial"/>
          <w:b/>
          <w:i w:val="0"/>
          <w:color w:val="000000"/>
          <w:sz w:val="26"/>
        </w:rPr>
        <w:t>Abgabe</w:t>
      </w:r>
    </w:p>
    <w:p>
      <w:pPr>
        <w:spacing w:after="80" w:line="259" w:lineRule="auto"/>
      </w:pPr>
      <w:r>
        <w:rPr>
          <w:rFonts w:ascii="Arial" w:hAnsi="Arial"/>
          <w:b w:val="0"/>
          <w:i w:val="0"/>
          <w:color w:val="1A1A1A"/>
          <w:sz w:val="18"/>
        </w:rPr>
        <w:t>Verantwortungsmatrix, Stop und Eskalationskarte, Fachprüfauftrag und vier Sätze zur Gegenprobe: fehlendes Wissen, ausgeübtes oder fehlendes Eingriffsrecht, Nachweis der Entscheidung, nächste begründete Handlung.</w:t>
      </w:r>
    </w:p>
    <w:p>
      <w:pPr>
        <w:spacing w:after="60" w:line="254" w:lineRule="auto"/>
      </w:pPr>
      <w:r>
        <w:rPr>
          <w:rFonts w:ascii="Arial" w:hAnsi="Arial"/>
          <w:b/>
          <w:i w:val="0"/>
          <w:color w:val="000000"/>
          <w:sz w:val="18"/>
        </w:rPr>
        <w:t xml:space="preserve">Grenze der Übung: </w:t>
      </w:r>
      <w:r>
        <w:rPr>
          <w:rFonts w:ascii="Arial" w:hAnsi="Arial"/>
          <w:b w:val="0"/>
          <w:i w:val="0"/>
          <w:color w:val="1A1A1A"/>
          <w:sz w:val="18"/>
        </w:rPr>
        <w:t>Der Fall ist erfunden und die Matrix ist eine didaktische Konstruktion. Sie legt keine rechtlichen Pflichten fest und belegt weder typische Fehler noch die Wirksamkeit einer konkreten Organisationsregel.</w:t>
      </w:r>
    </w:p>
    <w:sectPr w:rsidR="00FC693F" w:rsidRPr="0006063C" w:rsidSect="00034616">
      <w:headerReference w:type="default" r:id="rId9"/>
      <w:footerReference w:type="default" r:id="rId10"/>
      <w:pgSz w:w="12240" w:h="15840"/>
      <w:pgMar w:top="749" w:right="806" w:bottom="691" w:left="80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b w:val="0"/>
        <w:i w:val="0"/>
        <w:color w:val="666666"/>
        <w:sz w:val="16"/>
      </w:rPr>
      <w:t xml:space="preserve">Arbeitsblatt   |   Seite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i w:val="0"/>
        <w:color w:val="555555"/>
        <w:sz w:val="16"/>
      </w:rPr>
      <w:t>KI ETHIK  |  ARBEITSBLATT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A1A1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Verantwortung vor dem Klick</dc:title>
  <dc:subject>Arbeitsblatt</dc:subject>
  <dc:creator>Furkan Sakızlı</dc:creator>
  <cp:keywords/>
  <dc:description/>
  <cp:lastModifiedBy/>
  <cp:revision>1</cp:revision>
  <dcterms:created xsi:type="dcterms:W3CDTF">2013-12-23T23:15:00Z</dcterms:created>
  <dcterms:modified xsi:type="dcterms:W3CDTF">2013-12-23T23:15:00Z</dcterms:modified>
  <cp:category/>
</cp:coreProperties>
</file>