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b w:val="0"/>
          <w:i w:val="0"/>
          <w:color w:val="000000"/>
          <w:sz w:val="42"/>
        </w:rPr>
        <w:t>Arbeitsblatt Evidenz ohne Diagnose</w:t>
      </w:r>
    </w:p>
    <w:p>
      <w:pPr>
        <w:spacing w:before="0" w:after="54" w:line="247" w:lineRule="auto"/>
      </w:pPr>
      <w:r>
        <w:rPr>
          <w:rFonts w:ascii="Arial" w:hAnsi="Arial"/>
          <w:b/>
          <w:i w:val="0"/>
          <w:color w:val="202633"/>
          <w:sz w:val="16"/>
        </w:rPr>
        <w:t>Thema:</w:t>
      </w:r>
      <w:r>
        <w:rPr>
          <w:rFonts w:ascii="Arial" w:hAnsi="Arial"/>
          <w:b w:val="0"/>
          <w:i w:val="0"/>
          <w:color w:val="202633"/>
          <w:sz w:val="16"/>
        </w:rPr>
        <w:t xml:space="preserve"> Was stützen Sprache, Verhalten und Architektur über mögliches KI-Bewusstsein?</w:t>
      </w:r>
    </w:p>
    <w:p>
      <w:pPr>
        <w:spacing w:before="0" w:after="54" w:line="247" w:lineRule="auto"/>
      </w:pPr>
      <w:r>
        <w:rPr>
          <w:rFonts w:ascii="Arial" w:hAnsi="Arial"/>
          <w:b/>
          <w:i w:val="0"/>
          <w:color w:val="202633"/>
          <w:sz w:val="16"/>
        </w:rPr>
        <w:t>Einsatz:</w:t>
      </w:r>
      <w:r>
        <w:rPr>
          <w:rFonts w:ascii="Arial" w:hAnsi="Arial"/>
          <w:b w:val="0"/>
          <w:i w:val="0"/>
          <w:color w:val="202633"/>
          <w:sz w:val="16"/>
        </w:rPr>
        <w:t xml:space="preserve"> Kurs, Team-Workshop oder KMU-Entscheidungsrunde · 45 Minuten</w:t>
      </w:r>
    </w:p>
    <w:p>
      <w:pPr>
        <w:spacing w:before="0" w:after="54" w:line="247" w:lineRule="auto"/>
      </w:pPr>
      <w:r>
        <w:rPr>
          <w:rFonts w:ascii="Arial" w:hAnsi="Arial"/>
          <w:b w:val="0"/>
          <w:i w:val="0"/>
          <w:color w:val="202633"/>
          <w:sz w:val="16"/>
        </w:rPr>
        <w:t>Dieses Arbeitsblatt ist eine Denk- und Dokumentationshilfe. Es diagnostiziert kein Bewusstsein und bewertet keine „richtige“ metaphysische Antwort. Ziel ist, Beobachtung, Deutung, Theorieannahme und Organisationsentscheidung auseinanderzuhalten.</w:t>
      </w:r>
    </w:p>
    <w:p>
      <w:pPr>
        <w:pStyle w:val="Heading1"/>
      </w:pPr>
      <w:r>
        <w:rPr>
          <w:rFonts w:ascii="Arial" w:hAnsi="Arial"/>
          <w:b w:val="0"/>
          <w:i w:val="0"/>
          <w:color w:val="000000"/>
          <w:sz w:val="25"/>
        </w:rPr>
        <w:t>1 Beobachtung und Zuschreibung trennen</w:t>
      </w:r>
    </w:p>
    <w:p>
      <w:pPr>
        <w:spacing w:before="0" w:after="54" w:line="247" w:lineRule="auto"/>
      </w:pPr>
      <w:r>
        <w:rPr>
          <w:rFonts w:ascii="Arial" w:hAnsi="Arial"/>
          <w:b/>
          <w:i w:val="0"/>
          <w:color w:val="202633"/>
          <w:sz w:val="16"/>
        </w:rPr>
        <w:t>Fiktiver Fall:</w:t>
      </w:r>
      <w:r>
        <w:rPr>
          <w:rFonts w:ascii="Arial" w:hAnsi="Arial"/>
          <w:b w:val="0"/>
          <w:i w:val="0"/>
          <w:color w:val="202633"/>
          <w:sz w:val="16"/>
        </w:rPr>
        <w:t xml:space="preserve"> Ein textbasierter Lernassistent erklärt in einer Demo einen Wortwitz und ändert seine Erklärung, nachdem zusätzlicher Kontext eingegeben wurde. Das Team fragt, ob das System Humor versteht oder etwas erlebt. Der Fall ist erfunden; tragt nur Beobachtungen ein, die ein konkreter Test tatsächlich erhoben hätte.</w:t>
      </w:r>
    </w:p>
    <w:tbl>
      <w:tblPr>
        <w:tblW w:type="auto" w:w="0"/>
        <w:jc w:val="center"/>
        <w:tblLayout w:type="fixed"/>
        <w:tblLook w:firstColumn="1" w:firstRow="1" w:lastColumn="0" w:lastRow="0" w:noHBand="0" w:noVBand="1" w:val="04A0"/>
      </w:tblPr>
      <w:tblGrid>
        <w:gridCol w:w="3053"/>
        <w:gridCol w:w="6998"/>
      </w:tblGrid>
      <w:tr>
        <w:trPr>
          <w:tblHeader w:val="true"/>
          <w:cantSplit/>
        </w:trPr>
        <w:tc>
          <w:tcPr>
            <w:tcW w:type="dxa" w:w="305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Direkt beobachtet: Aufgabe, Eingabe, Version und Antwort</w:t>
            </w:r>
          </w:p>
        </w:tc>
        <w:tc>
          <w:tcPr>
            <w:tcW w:type="dxa" w:w="699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Erste Deutung: welche Fähigkeit oder welcher Zustand wird vermutet?</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bl>
    <w:p>
      <w:pPr>
        <w:spacing w:after="40" w:before="0"/>
      </w:pPr>
    </w:p>
    <w:tbl>
      <w:tblPr>
        <w:tblW w:type="auto" w:w="0"/>
        <w:jc w:val="center"/>
        <w:tblLayout w:type="fixed"/>
        <w:tblLook w:firstColumn="1" w:firstRow="1" w:lastColumn="0" w:lastRow="0" w:noHBand="0" w:noVBand="1" w:val="04A0"/>
      </w:tblPr>
      <w:tblGrid>
        <w:gridCol w:w="3053"/>
        <w:gridCol w:w="6998"/>
      </w:tblGrid>
      <w:tr>
        <w:trPr>
          <w:tblHeader w:val="true"/>
          <w:cantSplit/>
        </w:trPr>
        <w:tc>
          <w:tcPr>
            <w:tcW w:type="dxa" w:w="305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Evidenzschritt</w:t>
            </w:r>
          </w:p>
        </w:tc>
        <w:tc>
          <w:tcPr>
            <w:tcW w:type="dxa" w:w="699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Arbeitsnotiz</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Beobachtung ohne Interpretation</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Plausible Deutung</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Mindestens eine Gegenhypothese</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Theorie oder Annahme, die die Deutung trägt</w:t>
            </w: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Fehlende Information und datensparsame nächste Prüfung</w:t>
            </w: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bl>
    <w:p>
      <w:pPr>
        <w:spacing w:after="40" w:before="0"/>
      </w:pPr>
    </w:p>
    <w:p>
      <w:pPr>
        <w:spacing w:before="40" w:after="60"/>
      </w:pPr>
      <w:r>
        <w:rPr>
          <w:rFonts w:ascii="Arial" w:hAnsi="Arial"/>
          <w:b/>
          <w:i w:val="0"/>
          <w:color w:val="202633"/>
          <w:sz w:val="16"/>
        </w:rPr>
        <w:t>Begriffscheck – markieren, was im Gespräch getrennt bleiben muss:</w:t>
      </w:r>
    </w:p>
    <w:p>
      <w:pPr>
        <w:spacing w:after="40"/>
        <w:ind w:left="72" w:firstLine="0"/>
      </w:pPr>
      <w:r>
        <w:rPr>
          <w:rFonts w:ascii="Arial" w:hAnsi="Arial"/>
          <w:b w:val="0"/>
          <w:i w:val="0"/>
          <w:color w:val="202633"/>
          <w:sz w:val="15"/>
        </w:rPr>
        <w:t>□  Phänomenales Erleben und kognitiver Zugriff</w:t>
      </w:r>
    </w:p>
    <w:p>
      <w:pPr>
        <w:spacing w:after="40"/>
        <w:ind w:left="72" w:firstLine="0"/>
      </w:pPr>
      <w:r>
        <w:rPr>
          <w:rFonts w:ascii="Arial" w:hAnsi="Arial"/>
          <w:b w:val="0"/>
          <w:i w:val="0"/>
          <w:color w:val="202633"/>
          <w:sz w:val="15"/>
        </w:rPr>
        <w:t>□  Aufgabenleistung und subjektive Erlebnisqualität</w:t>
      </w:r>
    </w:p>
    <w:p>
      <w:pPr>
        <w:spacing w:after="40"/>
        <w:ind w:left="72" w:firstLine="0"/>
      </w:pPr>
      <w:r>
        <w:rPr>
          <w:rFonts w:ascii="Arial" w:hAnsi="Arial"/>
          <w:b w:val="0"/>
          <w:i w:val="0"/>
          <w:color w:val="202633"/>
          <w:sz w:val="15"/>
        </w:rPr>
        <w:t>□  Selbstbeschreibung als Textausgabe und Selbstbericht mit privilegiertem Erlebniszugang</w:t>
      </w:r>
    </w:p>
    <w:p>
      <w:pPr>
        <w:spacing w:after="40"/>
        <w:ind w:left="72" w:firstLine="0"/>
      </w:pPr>
      <w:r>
        <w:rPr>
          <w:rFonts w:ascii="Arial" w:hAnsi="Arial"/>
          <w:b w:val="0"/>
          <w:i w:val="0"/>
          <w:color w:val="202633"/>
          <w:sz w:val="15"/>
        </w:rPr>
        <w:t>□  Intelligenz, Emotion, Bewusstsein und Verantwortung</w:t>
      </w:r>
    </w:p>
    <w:p>
      <w:pPr>
        <w:spacing w:after="40"/>
        <w:ind w:left="72" w:firstLine="0"/>
      </w:pPr>
      <w:r>
        <w:rPr>
          <w:rFonts w:ascii="Arial" w:hAnsi="Arial"/>
          <w:b w:val="0"/>
          <w:i w:val="0"/>
          <w:color w:val="202633"/>
          <w:sz w:val="15"/>
        </w:rPr>
        <w:t>□  Fehlender Nachweis und Nachweis der Abwesenheit</w:t>
      </w:r>
    </w:p>
    <w:p>
      <w:r>
        <w:br w:type="page"/>
      </w:r>
    </w:p>
    <w:p>
      <w:pPr>
        <w:pStyle w:val="Heading1"/>
      </w:pPr>
      <w:r>
        <w:rPr>
          <w:rFonts w:ascii="Arial" w:hAnsi="Arial"/>
          <w:b w:val="0"/>
          <w:i w:val="0"/>
          <w:color w:val="000000"/>
          <w:sz w:val="25"/>
        </w:rPr>
        <w:t>2 F · Die Frage erweitern und präzisieren</w:t>
      </w:r>
    </w:p>
    <w:p>
      <w:pPr>
        <w:spacing w:before="0" w:after="54" w:line="247" w:lineRule="auto"/>
      </w:pPr>
      <w:r>
        <w:rPr>
          <w:rFonts w:ascii="Arial" w:hAnsi="Arial"/>
          <w:b/>
          <w:i w:val="0"/>
          <w:color w:val="202633"/>
          <w:sz w:val="16"/>
        </w:rPr>
        <w:t>Ausgangsfrage:</w:t>
      </w:r>
      <w:r>
        <w:rPr>
          <w:rFonts w:ascii="Arial" w:hAnsi="Arial"/>
          <w:b w:val="0"/>
          <w:i w:val="0"/>
          <w:color w:val="202633"/>
          <w:sz w:val="16"/>
        </w:rPr>
        <w:t xml:space="preserve"> „Ist unser Lernassistent bewusst?“</w:t>
      </w:r>
    </w:p>
    <w:p>
      <w:pPr>
        <w:spacing w:before="0" w:after="54" w:line="247" w:lineRule="auto"/>
      </w:pPr>
      <w:r>
        <w:rPr>
          <w:rFonts w:ascii="Arial" w:hAnsi="Arial"/>
          <w:b w:val="0"/>
          <w:i w:val="0"/>
          <w:color w:val="202633"/>
          <w:sz w:val="16"/>
        </w:rPr>
        <w:t>F führt von A über B und D zu C. Das Modell erzeugt eine prüfbare Frage; es liefert selbst keinen Bewusstseinsnachweis.</w:t>
      </w:r>
    </w:p>
    <w:p>
      <w:pPr>
        <w:pStyle w:val="Heading2"/>
      </w:pPr>
      <w:r>
        <w:rPr>
          <w:rFonts w:ascii="Arial" w:hAnsi="Arial"/>
          <w:b w:val="0"/>
          <w:i w:val="0"/>
          <w:color w:val="000000"/>
          <w:sz w:val="19"/>
        </w:rPr>
        <w:t>A · Begriffe, Ziel und Annahmen klären</w:t>
      </w:r>
    </w:p>
    <w:p>
      <w:pPr>
        <w:spacing w:before="0" w:after="54" w:line="247" w:lineRule="auto"/>
      </w:pPr>
      <w:r>
        <w:rPr>
          <w:rFonts w:ascii="Arial" w:hAnsi="Arial"/>
          <w:b w:val="0"/>
          <w:i w:val="0"/>
          <w:color w:val="202633"/>
          <w:sz w:val="16"/>
        </w:rPr>
        <w:t>Welcher Sinn von „Bewusstsein“ steht im Raum? Welche konkrete Teamentscheidung hängt davon ab? Welche Beobachtung liegt vor – und was wird bereits vorausgesetzt?</w:t>
      </w:r>
    </w:p>
    <w:tbl>
      <w:tblPr>
        <w:tblW w:type="auto" w:w="0"/>
        <w:jc w:val="center"/>
        <w:tblLayout w:type="fixed"/>
        <w:tblLook w:firstColumn="1" w:firstRow="1" w:lastColumn="0" w:lastRow="0" w:noHBand="0" w:noVBand="1" w:val="04A0"/>
      </w:tblPr>
      <w:tblGrid>
        <w:gridCol w:w="3053"/>
        <w:gridCol w:w="6998"/>
      </w:tblGrid>
      <w:tr>
        <w:trPr>
          <w:tblHeader w:val="true"/>
          <w:cantSplit/>
        </w:trPr>
        <w:tc>
          <w:tcPr>
            <w:tcW w:type="dxa" w:w="3053"/>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Begriff oder Annahme</w:t>
            </w:r>
          </w:p>
        </w:tc>
        <w:tc>
          <w:tcPr>
            <w:tcW w:type="dxa" w:w="699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Was ist daran unklar? Welche Entscheidung soll die Klärung ermöglichen?</w:t>
            </w:r>
          </w:p>
        </w:tc>
      </w:tr>
      <w:tr>
        <w:trPr>
          <w:cantSplit/>
        </w:trPr>
        <w:tc>
          <w:tcPr>
            <w:tcW w:type="dxa" w:w="3053"/>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699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3053"/>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699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bl>
    <w:p>
      <w:pPr>
        <w:spacing w:after="40" w:before="0"/>
      </w:pPr>
    </w:p>
    <w:p>
      <w:pPr>
        <w:pStyle w:val="Heading2"/>
      </w:pPr>
      <w:r>
        <w:rPr>
          <w:rFonts w:ascii="Arial" w:hAnsi="Arial"/>
          <w:b w:val="0"/>
          <w:i w:val="0"/>
          <w:color w:val="000000"/>
          <w:sz w:val="19"/>
        </w:rPr>
        <w:t>B · konkurrierende Erklärungen öffnen</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Erklärung</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Welche Beobachtung erklärt sie?</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Was müsste geprüft werden, um sie zu unterscheiden?</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Funktionale Erklärung: sprachliche Muster und gelernte Regeln</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Alternative Theorie oder Architekturannahme</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Bewusstseinsdeutung mit benannter Theorie</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bl>
    <w:p>
      <w:pPr>
        <w:spacing w:after="40" w:before="0"/>
      </w:pPr>
    </w:p>
    <w:p>
      <w:pPr>
        <w:pStyle w:val="Heading2"/>
      </w:pPr>
      <w:r>
        <w:rPr>
          <w:rFonts w:ascii="Arial" w:hAnsi="Arial"/>
          <w:b w:val="0"/>
          <w:i w:val="0"/>
          <w:color w:val="000000"/>
          <w:sz w:val="19"/>
        </w:rPr>
        <w:t>D · Unsicherheit und Grenzen markieren</w:t>
      </w:r>
    </w:p>
    <w:p>
      <w:pPr>
        <w:spacing w:before="0" w:after="54" w:line="247" w:lineRule="auto"/>
      </w:pPr>
      <w:r>
        <w:rPr>
          <w:rFonts w:ascii="Arial" w:hAnsi="Arial"/>
          <w:b w:val="0"/>
          <w:i w:val="0"/>
          <w:color w:val="202633"/>
          <w:sz w:val="16"/>
        </w:rPr>
        <w:t>Welche technischen Unterlagen, Wiederholungen oder unabhängigen Befunde fehlen? Was lässt sich mit vertretbarem Aufwand und datensparsam prüfen? Was würde die aktuelle Einschätzung ändern? Keine Wahrscheinlichkeiten erfinden.</w:t>
      </w:r>
    </w:p>
    <w:p>
      <w:pPr>
        <w:spacing w:before="0" w:after="54" w:line="247" w:lineRule="auto"/>
      </w:pPr>
      <w:r>
        <w:rPr>
          <w:rFonts w:ascii="Arial" w:hAnsi="Arial"/>
          <w:b/>
          <w:i w:val="0"/>
          <w:color w:val="202633"/>
          <w:sz w:val="16"/>
        </w:rPr>
        <w:t>Fallback bei offener Evidenz:</w:t>
      </w:r>
      <w:r>
        <w:rPr>
          <w:rFonts w:ascii="Arial" w:hAnsi="Arial"/>
          <w:b w:val="0"/>
          <w:i w:val="0"/>
          <w:color w:val="202633"/>
          <w:sz w:val="16"/>
        </w:rPr>
        <w:t xml:space="preserve"> getestete Leistung und Grenzen beschreiben; keine Diagnose behaupten.</w:t>
      </w:r>
    </w:p>
    <w:p>
      <w:pPr>
        <w:pStyle w:val="Heading2"/>
      </w:pPr>
      <w:r>
        <w:rPr>
          <w:rFonts w:ascii="Arial" w:hAnsi="Arial"/>
          <w:b w:val="0"/>
          <w:i w:val="0"/>
          <w:color w:val="000000"/>
          <w:sz w:val="19"/>
        </w:rPr>
        <w:t>C · handlungsfähige Endfrage formulieren</w:t>
      </w:r>
    </w:p>
    <w:p>
      <w:pPr>
        <w:spacing w:before="0" w:after="54" w:line="247" w:lineRule="auto"/>
      </w:pPr>
      <w:r>
        <w:rPr>
          <w:rFonts w:ascii="Arial" w:hAnsi="Arial"/>
          <w:b/>
          <w:i w:val="0"/>
          <w:color w:val="202633"/>
          <w:sz w:val="16"/>
        </w:rPr>
        <w:t>Unsere präzisierte Frage:</w:t>
      </w:r>
      <w:r>
        <w:rPr>
          <w:rFonts w:ascii="Arial" w:hAnsi="Arial"/>
          <w:b w:val="0"/>
          <w:i w:val="0"/>
          <w:color w:val="202633"/>
          <w:sz w:val="16"/>
        </w:rPr>
        <w:t xml:space="preserve"> ____________________________________________________________</w:t>
      </w:r>
    </w:p>
    <w:p>
      <w:pPr>
        <w:spacing w:before="0" w:after="54" w:line="247" w:lineRule="auto"/>
      </w:pPr>
      <w:r>
        <w:rPr>
          <w:rFonts w:ascii="Arial" w:hAnsi="Arial"/>
          <w:b w:val="0"/>
          <w:i w:val="0"/>
          <w:color w:val="202633"/>
          <w:sz w:val="16"/>
        </w:rPr>
        <w:t>Sie soll Beobachtung, Prüfbedingung, relevante Theorieannahme und die anstehende Entscheidung erkennbar verbinden.</w:t>
      </w:r>
    </w:p>
    <w:p>
      <w:r>
        <w:br w:type="page"/>
      </w:r>
    </w:p>
    <w:p>
      <w:pPr>
        <w:pStyle w:val="Heading1"/>
      </w:pPr>
      <w:r>
        <w:rPr>
          <w:rFonts w:ascii="Arial" w:hAnsi="Arial"/>
          <w:b w:val="0"/>
          <w:i w:val="0"/>
          <w:color w:val="000000"/>
          <w:sz w:val="25"/>
        </w:rPr>
        <w:t>3 K · Governance-Entscheidung und bedingte Fachübergabe</w:t>
      </w:r>
    </w:p>
    <w:p>
      <w:pPr>
        <w:spacing w:before="0" w:after="54" w:line="247" w:lineRule="auto"/>
      </w:pPr>
      <w:r>
        <w:rPr>
          <w:rFonts w:ascii="Arial" w:hAnsi="Arial"/>
          <w:b w:val="0"/>
          <w:i w:val="0"/>
          <w:color w:val="202633"/>
          <w:sz w:val="16"/>
        </w:rPr>
        <w:t>K übernimmt die verbleibende Unsicherheit in eine vorläufige, überprüfbare Organisationsregel. K entscheidet nicht, ob ein System metaphysisch bewusst ist.</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K-Grundzyklus</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Wer oder welche Perspektive wird einbezogen?</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Ergebnis oder offene Frage</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Exploration: Systemrolle, Zweck, Betroffene, Aussagen und Wissenslücken</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Reflexion und Analyse: Evidenz, Gegenposition, Nutzen, mögliche Fehlzuschreibung und Folgen</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Entscheidung und Empfehlung: begrenzte Regel, Belege, zuständige Rolle</w:t>
            </w: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r>
        <w:trPr>
          <w:cantSplit/>
        </w:trPr>
        <w:tc>
          <w:tcPr>
            <w:tcW w:type="dxa" w:w="1944"/>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r>
              <w:rPr>
                <w:rFonts w:ascii="Arial" w:hAnsi="Arial"/>
                <w:b w:val="0"/>
                <w:i w:val="0"/>
                <w:color w:val="202633"/>
                <w:sz w:val="14"/>
              </w:rPr>
              <w:t>Feedback und Evaluation: Prüftermin und Revisionsauslöser</w:t>
            </w:r>
          </w:p>
        </w:tc>
        <w:tc>
          <w:tcPr>
            <w:tcW w:type="dxa" w:w="6048"/>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c>
          <w:tcPr>
            <w:tcW w:type="dxa" w:w="2059"/>
            <w:vAlign w:val="center"/>
            <w:shd w:fill="F7F8F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p>
            <w:pPr>
              <w:spacing w:after="0" w:line="228" w:lineRule="auto"/>
            </w:pPr>
            <w:r>
              <w:rPr>
                <w:rFonts w:ascii="Arial" w:hAnsi="Arial"/>
                <w:b w:val="0"/>
                <w:i w:val="0"/>
                <w:color w:val="202633"/>
                <w:sz w:val="14"/>
              </w:rPr>
              <w:t xml:space="preserve"> </w:t>
            </w:r>
          </w:p>
        </w:tc>
      </w:tr>
    </w:tbl>
    <w:p>
      <w:pPr>
        <w:spacing w:after="40" w:before="0"/>
      </w:pPr>
    </w:p>
    <w:p>
      <w:pPr>
        <w:spacing w:before="0" w:after="54" w:line="247" w:lineRule="auto"/>
      </w:pPr>
      <w:r>
        <w:rPr>
          <w:rFonts w:ascii="Arial" w:hAnsi="Arial"/>
          <w:b/>
          <w:i w:val="0"/>
          <w:color w:val="202633"/>
          <w:sz w:val="16"/>
        </w:rPr>
        <w:t>Vorläufige Regel:</w:t>
      </w:r>
      <w:r>
        <w:rPr>
          <w:rFonts w:ascii="Arial" w:hAnsi="Arial"/>
          <w:b w:val="0"/>
          <w:i w:val="0"/>
          <w:color w:val="202633"/>
          <w:sz w:val="16"/>
        </w:rPr>
        <w:t xml:space="preserve"> _________________________________________________________________</w:t>
      </w:r>
    </w:p>
    <w:p>
      <w:pPr>
        <w:spacing w:before="0" w:after="54" w:line="247" w:lineRule="auto"/>
      </w:pPr>
      <w:r>
        <w:rPr>
          <w:rFonts w:ascii="Arial" w:hAnsi="Arial"/>
          <w:b/>
          <w:i w:val="0"/>
          <w:color w:val="202633"/>
          <w:sz w:val="16"/>
        </w:rPr>
        <w:t>Verantwortliche Rolle / Beleg:</w:t>
      </w:r>
      <w:r>
        <w:rPr>
          <w:rFonts w:ascii="Arial" w:hAnsi="Arial"/>
          <w:b w:val="0"/>
          <w:i w:val="0"/>
          <w:color w:val="202633"/>
          <w:sz w:val="16"/>
        </w:rPr>
        <w:t xml:space="preserve"> __________________________ </w:t>
      </w:r>
      <w:r>
        <w:rPr>
          <w:rFonts w:ascii="Arial" w:hAnsi="Arial"/>
          <w:b/>
          <w:i w:val="0"/>
          <w:color w:val="202633"/>
          <w:sz w:val="16"/>
        </w:rPr>
        <w:t>Reviewdatum:</w:t>
      </w:r>
      <w:r>
        <w:rPr>
          <w:rFonts w:ascii="Arial" w:hAnsi="Arial"/>
          <w:b w:val="0"/>
          <w:i w:val="0"/>
          <w:color w:val="202633"/>
          <w:sz w:val="16"/>
        </w:rPr>
        <w:t xml:space="preserve"> ______________</w:t>
      </w:r>
    </w:p>
    <w:p>
      <w:pPr>
        <w:spacing w:before="0" w:after="54" w:line="247" w:lineRule="auto"/>
      </w:pPr>
      <w:r>
        <w:rPr>
          <w:rFonts w:ascii="Arial" w:hAnsi="Arial"/>
          <w:b/>
          <w:i w:val="0"/>
          <w:color w:val="202633"/>
          <w:sz w:val="16"/>
        </w:rPr>
        <w:t>Wieder öffnen, wenn:</w:t>
      </w:r>
      <w:r>
        <w:rPr>
          <w:rFonts w:ascii="Arial" w:hAnsi="Arial"/>
          <w:b w:val="0"/>
          <w:i w:val="0"/>
          <w:color w:val="202633"/>
          <w:sz w:val="16"/>
        </w:rPr>
        <w:t xml:space="preserve"> _______________________________________________________________</w:t>
      </w:r>
    </w:p>
    <w:p>
      <w:pPr>
        <w:pStyle w:val="Heading2"/>
      </w:pPr>
      <w:r>
        <w:rPr>
          <w:rFonts w:ascii="Arial" w:hAnsi="Arial"/>
          <w:b w:val="0"/>
          <w:i w:val="0"/>
          <w:color w:val="000000"/>
          <w:sz w:val="19"/>
        </w:rPr>
        <w:t>R · nur bei einer konkreten Fachfrage</w:t>
      </w:r>
    </w:p>
    <w:p>
      <w:pPr>
        <w:spacing w:before="0" w:after="54" w:line="247" w:lineRule="auto"/>
      </w:pPr>
      <w:r>
        <w:rPr>
          <w:rFonts w:ascii="Arial" w:hAnsi="Arial"/>
          <w:b w:val="0"/>
          <w:i w:val="0"/>
          <w:color w:val="202633"/>
          <w:sz w:val="16"/>
        </w:rPr>
        <w:t>Wenn Architektur, Messdesign oder Replikation eine qualifizierte Prüfung verlangt, kann das Beratungsmodell R die Expertenübergabe strukturieren. R ersetzt weder K noch ist es ein Bewusstseinstest.</w:t>
      </w:r>
    </w:p>
    <w:tbl>
      <w:tblPr>
        <w:tblW w:type="auto" w:w="0"/>
        <w:jc w:val="center"/>
        <w:tblLayout w:type="fixed"/>
        <w:tblLook w:firstColumn="1" w:firstRow="1" w:lastColumn="0" w:lastRow="0" w:noHBand="0" w:noVBand="1" w:val="04A0"/>
      </w:tblPr>
      <w:tblGrid>
        <w:gridCol w:w="1944"/>
        <w:gridCol w:w="6048"/>
        <w:gridCol w:w="2059"/>
      </w:tblGrid>
      <w:tr>
        <w:trPr>
          <w:tblHeader w:val="true"/>
          <w:cantSplit/>
        </w:trPr>
        <w:tc>
          <w:tcPr>
            <w:tcW w:type="dxa" w:w="1944"/>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Fachfrage und benötigte Kompetenz</w:t>
            </w:r>
          </w:p>
        </w:tc>
        <w:tc>
          <w:tcPr>
            <w:tcW w:type="dxa" w:w="6048"/>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Bereitgestellte Unterlagen / Grenzen</w:t>
            </w:r>
          </w:p>
        </w:tc>
        <w:tc>
          <w:tcPr>
            <w:tcW w:type="dxa" w:w="2059"/>
            <w:vAlign w:val="center"/>
            <w:shd w:fill="10203C"/>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70" w:type="dxa"/>
              <w:start w:w="75" w:type="dxa"/>
              <w:bottom w:w="70" w:type="dxa"/>
              <w:end w:w="75" w:type="dxa"/>
            </w:tcMar>
          </w:tcPr>
          <w:p>
            <w:pPr>
              <w:spacing w:after="0" w:line="240" w:lineRule="auto"/>
            </w:pPr>
            <w:r>
              <w:rPr>
                <w:rFonts w:ascii="Arial" w:hAnsi="Arial"/>
                <w:b/>
                <w:i w:val="0"/>
                <w:color w:val="FFFFFF"/>
                <w:sz w:val="14"/>
              </w:rPr>
              <w:t>Erwartete Rückmeldung und Nachprüfung</w:t>
            </w:r>
          </w:p>
        </w:tc>
      </w:tr>
      <w:tr>
        <w:trPr>
          <w:cantSplit/>
        </w:trPr>
        <w:tc>
          <w:tcPr>
            <w:tcW w:type="dxa" w:w="1944"/>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6048"/>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c>
          <w:tcPr>
            <w:tcW w:type="dxa" w:w="2059"/>
            <w:vAlign w:val="center"/>
            <w:shd w:fill="FFFFFF"/>
            <w:tcBorders>
              <w:top w:val="single" w:sz="5" w:space="0" w:color="D4DAE6"/>
              <w:left w:val="single" w:sz="5" w:space="0" w:color="D4DAE6"/>
              <w:bottom w:val="single" w:sz="5" w:space="0" w:color="D4DAE6"/>
              <w:right w:val="single" w:sz="5" w:space="0" w:color="D4DAE6"/>
              <w:insideH w:val="single" w:sz="5" w:space="0" w:color="D4DAE6"/>
              <w:insideV w:val="single" w:sz="5" w:space="0" w:color="D4DAE6"/>
            </w:tcBorders>
            <w:tcMar>
              <w:top w:w="55" w:type="dxa"/>
              <w:start w:w="72" w:type="dxa"/>
              <w:bottom w:w="55" w:type="dxa"/>
              <w:end w:w="72" w:type="dxa"/>
            </w:tcMar>
          </w:tcPr>
          <w:p>
            <w:pPr>
              <w:spacing w:after="0" w:line="245" w:lineRule="auto"/>
            </w:pPr>
          </w:p>
        </w:tc>
      </w:tr>
    </w:tbl>
    <w:p>
      <w:pPr>
        <w:spacing w:after="40" w:before="0"/>
      </w:pPr>
    </w:p>
    <w:p>
      <w:pPr>
        <w:pStyle w:val="Heading2"/>
      </w:pPr>
      <w:r>
        <w:rPr>
          <w:rFonts w:ascii="Arial" w:hAnsi="Arial"/>
          <w:b w:val="0"/>
          <w:i w:val="0"/>
          <w:color w:val="000000"/>
          <w:sz w:val="19"/>
        </w:rPr>
        <w:t>Abschlusscheck</w:t>
      </w:r>
    </w:p>
    <w:p>
      <w:pPr>
        <w:spacing w:after="40"/>
        <w:ind w:left="72" w:firstLine="0"/>
      </w:pPr>
      <w:r>
        <w:rPr>
          <w:rFonts w:ascii="Arial" w:hAnsi="Arial"/>
          <w:b w:val="0"/>
          <w:i w:val="0"/>
          <w:color w:val="202633"/>
          <w:sz w:val="15"/>
        </w:rPr>
        <w:t>□  Beobachtung, Interpretation, Theorieannahme und Entscheidung sind getrennt.</w:t>
      </w:r>
    </w:p>
    <w:p>
      <w:pPr>
        <w:spacing w:after="40"/>
        <w:ind w:left="72" w:firstLine="0"/>
      </w:pPr>
      <w:r>
        <w:rPr>
          <w:rFonts w:ascii="Arial" w:hAnsi="Arial"/>
          <w:b w:val="0"/>
          <w:i w:val="0"/>
          <w:color w:val="202633"/>
          <w:sz w:val="15"/>
        </w:rPr>
        <w:t>□  Eine ernsthafte Gegenhypothese und fehlende Evidenz sind dokumentiert.</w:t>
      </w:r>
    </w:p>
    <w:p>
      <w:pPr>
        <w:spacing w:after="40"/>
        <w:ind w:left="72" w:firstLine="0"/>
      </w:pPr>
      <w:r>
        <w:rPr>
          <w:rFonts w:ascii="Arial" w:hAnsi="Arial"/>
          <w:b w:val="0"/>
          <w:i w:val="0"/>
          <w:color w:val="202633"/>
          <w:sz w:val="15"/>
        </w:rPr>
        <w:t>□  Keine erfundenen Wahrscheinlichkeiten und keine Diagnose aus einer einzelnen Ausgabe.</w:t>
      </w:r>
    </w:p>
    <w:p>
      <w:pPr>
        <w:spacing w:after="40"/>
        <w:ind w:left="72" w:firstLine="0"/>
      </w:pPr>
      <w:r>
        <w:rPr>
          <w:rFonts w:ascii="Arial" w:hAnsi="Arial"/>
          <w:b w:val="0"/>
          <w:i w:val="0"/>
          <w:color w:val="202633"/>
          <w:sz w:val="15"/>
        </w:rPr>
        <w:t>□  K führt zu einer verantworteten, überprüfbaren Regel; Reviewtrigger ist benannt.</w:t>
      </w:r>
    </w:p>
    <w:p>
      <w:pPr>
        <w:spacing w:after="40"/>
        <w:ind w:left="72" w:firstLine="0"/>
      </w:pPr>
      <w:r>
        <w:rPr>
          <w:rFonts w:ascii="Arial" w:hAnsi="Arial"/>
          <w:b w:val="0"/>
          <w:i w:val="0"/>
          <w:color w:val="202633"/>
          <w:sz w:val="15"/>
        </w:rPr>
        <w:t>□  R wird nur als begrenzte Fachübergabe genutzt und bleibt von K getrennt.</w:t>
      </w:r>
    </w:p>
    <w:p>
      <w:pPr>
        <w:spacing w:before="0" w:after="54" w:line="247" w:lineRule="auto"/>
      </w:pPr>
      <w:r>
        <w:rPr>
          <w:rFonts w:ascii="Arial" w:hAnsi="Arial"/>
          <w:b/>
          <w:i w:val="0"/>
          <w:color w:val="202633"/>
          <w:sz w:val="16"/>
        </w:rPr>
        <w:t>Merksatz:</w:t>
      </w:r>
      <w:r>
        <w:rPr>
          <w:rFonts w:ascii="Arial" w:hAnsi="Arial"/>
          <w:b w:val="0"/>
          <w:i w:val="0"/>
          <w:color w:val="202633"/>
          <w:sz w:val="16"/>
        </w:rPr>
        <w:t xml:space="preserve"> Unsicherheit darf offenbleiben. Zuständigkeit, Belege und nächste Prüfung müssen trotzdem klar sein.</w:t>
      </w:r>
    </w:p>
    <w:p>
      <w:pPr>
        <w:spacing w:before="0" w:after="54" w:line="247" w:lineRule="auto"/>
      </w:pPr>
      <w:r>
        <w:rPr>
          <w:rFonts w:ascii="Arial" w:hAnsi="Arial"/>
          <w:b w:val="0"/>
          <w:i w:val="0"/>
          <w:color w:val="202633"/>
          <w:sz w:val="16"/>
        </w:rPr>
        <w:t>Das Blatt weist weder Bewusstsein nach noch misst es Unterrichtswirkung, Auditfähigkeit oder Rechtskonformität.</w:t>
      </w:r>
    </w:p>
    <w:sectPr w:rsidR="00FC693F" w:rsidRPr="0006063C" w:rsidSect="00034616">
      <w:headerReference w:type="default" r:id="rId9"/>
      <w:footerReference w:type="default" r:id="rId10"/>
      <w:pgSz w:w="11909" w:h="16834"/>
      <w:pgMar w:top="677" w:right="893" w:bottom="691" w:left="893"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rial" w:hAnsi="Arial"/>
        <w:b w:val="0"/>
        <w:i w:val="0"/>
        <w:color w:val="5C6472"/>
        <w:sz w:val="15"/>
      </w:rPr>
      <w:t xml:space="preserve"/>
    </w:r>
    <w:r>
      <w:rPr>
        <w:rFonts w:ascii="Arial" w:hAnsi="Arial"/>
        <w:b w:val="0"/>
        <w:i w:val="0"/>
        <w:color w:val="5C6472"/>
        <w:sz w:val="15"/>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2954E8"/>
        <w:sz w:val="14"/>
      </w:rPr>
      <w:t>SAKIZLI.AI  ·  KI-ETHIK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Arial" w:hAnsi="Arial"/>
      <w:color w:val="202633"/>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Arial" w:hAnsi="Arial"/>
      <w:b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 Worksheet</dc:title>
  <dc:subject>AI ethics education worksheet on epistemic limits, evidence, consciousness, and governance</dc:subject>
  <dc:creator>Furkan Sakızlı</dc:creator>
  <cp:keywords>AI ethics, F, K, R</cp:keywords>
  <dc:description/>
  <cp:lastModifiedBy>Furkan Sakızlı</cp:lastModifiedBy>
  <cp:revision>1</cp:revision>
  <dcterms:created xsi:type="dcterms:W3CDTF">2013-12-23T23:15:00Z</dcterms:created>
  <dcterms:modified xsi:type="dcterms:W3CDTF">2013-12-23T23:15:00Z</dcterms:modified>
  <cp:category/>
</cp:coreProperties>
</file>