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20" w:line="240" w:lineRule="auto"/>
      </w:pPr>
      <w:r>
        <w:rPr>
          <w:rFonts w:ascii="IBM Plex Mono" w:hAnsi="IBM Plex Mono" w:eastAsia="IBM Plex Mono"/>
          <w:b/>
          <w:i w:val="0"/>
          <w:color w:val="4F7CFF"/>
          <w:sz w:val="18"/>
        </w:rPr>
        <w:t>FURKAN SAKIZLI</w:t>
      </w:r>
      <w:r>
        <w:rPr>
          <w:rFonts w:ascii="IBM Plex Mono" w:hAnsi="IBM Plex Mono" w:eastAsia="IBM Plex Mono"/>
          <w:b w:val="0"/>
          <w:i w:val="0"/>
          <w:color w:val="637087"/>
          <w:sz w:val="18"/>
        </w:rPr>
        <w:t xml:space="preserve">  ·  ESSAY · KI &amp; ARBEIT</w:t>
      </w:r>
    </w:p>
    <w:p>
      <w:pPr>
        <w:spacing w:after="160" w:line="235" w:lineRule="auto"/>
      </w:pPr>
      <w:r>
        <w:rPr>
          <w:rFonts w:ascii="Fraunces" w:hAnsi="Fraunces" w:eastAsia="Fraunces"/>
          <w:b/>
          <w:i w:val="0"/>
          <w:color w:val="1A2334"/>
          <w:sz w:val="56"/>
        </w:rPr>
        <w:t>Ein Second Brain für Menschen und Modelle</w:t>
      </w:r>
    </w:p>
    <w:p>
      <w:pPr>
        <w:spacing w:after="340" w:line="293" w:lineRule="auto"/>
      </w:pPr>
      <w:r>
        <w:rPr>
          <w:rFonts w:ascii="Source Serif 4" w:hAnsi="Source Serif 4" w:eastAsia="Source Serif 4"/>
          <w:b w:val="0"/>
          <w:i/>
          <w:color w:val="637087"/>
          <w:sz w:val="26"/>
        </w:rPr>
        <w:t>Wie ein lesbares Wissenssystem aus Notizen, Entscheidungen und Verbindungen entsteht.</w:t>
      </w:r>
    </w:p>
    <w:p>
      <w:pPr>
        <w:spacing w:after="420"/>
      </w:pPr>
      <w:r>
        <w:rPr>
          <w:rFonts w:ascii="IBM Plex Mono" w:hAnsi="IBM Plex Mono" w:eastAsia="IBM Plex Mono"/>
          <w:b w:val="0"/>
          <w:i w:val="0"/>
          <w:color w:val="4F7CFF"/>
          <w:sz w:val="17"/>
        </w:rPr>
        <w:t>7 MIN. LESEZEIT  ·  Furkan Sakızlı</w:t>
      </w:r>
    </w:p>
    <w:tbl>
      <w:tblPr>
        <w:tblW w:type="auto" w:w="0"/>
        <w:jc w:val="center"/>
        <w:tblLook w:firstColumn="1" w:firstRow="1" w:lastColumn="0" w:lastRow="0" w:noHBand="0" w:noVBand="1" w:val="04A0"/>
      </w:tblPr>
      <w:tblGrid>
        <w:gridCol w:w="9878"/>
      </w:tblGrid>
      <w:tr>
        <w:tc>
          <w:tcPr>
            <w:tcW w:type="dxa" w:w="9878"/>
            <w:shd w:fill="EEF1F7"/>
            <w:tcMar>
              <w:top w:w="190" w:type="dxa"/>
              <w:start w:w="220" w:type="dxa"/>
              <w:bottom w:w="190" w:type="dxa"/>
              <w:end w:w="220" w:type="dxa"/>
            </w:tcMar>
            <w:vAlign w:val="center"/>
          </w:tcPr>
          <w:p>
            <w:pPr>
              <w:spacing w:line="307" w:lineRule="auto"/>
            </w:pPr>
            <w:r>
              <w:rPr>
                <w:rFonts w:ascii="Source Serif 4" w:hAnsi="Source Serif 4" w:eastAsia="Source Serif 4"/>
                <w:b w:val="0"/>
                <w:i/>
                <w:color w:val="1A2334"/>
                <w:sz w:val="25"/>
              </w:rPr>
              <w:t>Wissen verschwindet selten, weil es nicht festgehalten wurde. Es verschwindet, weil es später nicht mehr zu finden, einzuordnen oder weiterzudenken ist. Ein Second Brain löst dieses Problem nicht mit einer perfekten App, sondern mit einer einfachen Zusage: Was wichtig ist, bekommt einen Ort, einen verständlichen Namen und eine Verbindung zu dem, was daraus folgt.</w:t>
            </w:r>
          </w:p>
        </w:tc>
      </w:tr>
    </w:tbl>
    <w:p>
      <w:pPr>
        <w:spacing w:before="360" w:after="140"/>
      </w:pPr>
      <w:r>
        <w:rPr>
          <w:rFonts w:ascii="Fraunces" w:hAnsi="Fraunces" w:eastAsia="Fraunces"/>
          <w:b/>
          <w:i w:val="0"/>
          <w:color w:val="1A2334"/>
          <w:sz w:val="36"/>
        </w:rPr>
        <w:t>Nicht mehr sammeln, sondern wiederfinden</w:t>
      </w:r>
    </w:p>
    <w:p>
      <w:pPr>
        <w:spacing w:before="0" w:after="160" w:line="322" w:lineRule="auto"/>
      </w:pPr>
      <w:r>
        <w:rPr>
          <w:rFonts w:ascii="Source Serif 4" w:hAnsi="Source Serif 4" w:eastAsia="Source Serif 4"/>
          <w:b w:val="0"/>
          <w:i w:val="0"/>
          <w:color w:val="1A2334"/>
          <w:sz w:val="22"/>
        </w:rPr>
        <w:t>Viele Ablagen wachsen wie Dachböden. Es gibt PDFs, Screenshots, Chat-Auszüge und lose Ideen, aber keine klare Antwort auf die entscheidende Frage: Was davon gilt heute? Ein Second Brain ist deshalb kein digitales Lager. Es ist ein Arbeitsraum, der später wieder betreten werden kann.</w:t>
      </w:r>
    </w:p>
    <w:p>
      <w:pPr>
        <w:spacing w:before="0" w:after="160" w:line="322" w:lineRule="auto"/>
      </w:pPr>
      <w:r>
        <w:rPr>
          <w:rFonts w:ascii="Source Serif 4" w:hAnsi="Source Serif 4" w:eastAsia="Source Serif 4"/>
          <w:b w:val="0"/>
          <w:i w:val="0"/>
          <w:color w:val="1A2334"/>
          <w:sz w:val="22"/>
        </w:rPr>
        <w:t>Der Maßstab ist überraschend menschlich: Kannst du nach drei Monaten verstehen, weshalb eine Notiz existiert, worauf sie sich bezieht und was du damit tun wolltest? Wenn ja, kann auch ein Modell mit deutlich weniger Erklärung sinnvoll daran arbeiten.</w:t>
      </w:r>
    </w:p>
    <w:p>
      <w:pPr>
        <w:spacing w:before="360" w:after="140"/>
      </w:pPr>
      <w:r>
        <w:rPr>
          <w:rFonts w:ascii="Fraunces" w:hAnsi="Fraunces" w:eastAsia="Fraunces"/>
          <w:b/>
          <w:i w:val="0"/>
          <w:color w:val="1A2334"/>
          <w:sz w:val="36"/>
        </w:rPr>
        <w:t>Die kleinste brauchbare Struktur</w:t>
      </w:r>
    </w:p>
    <w:p>
      <w:pPr>
        <w:spacing w:before="0" w:after="160" w:line="322" w:lineRule="auto"/>
      </w:pPr>
      <w:r>
        <w:rPr>
          <w:rFonts w:ascii="Source Serif 4" w:hAnsi="Source Serif 4" w:eastAsia="Source Serif 4"/>
          <w:b w:val="0"/>
          <w:i w:val="0"/>
          <w:color w:val="1A2334"/>
          <w:sz w:val="22"/>
        </w:rPr>
        <w:t>Du brauchst am Anfang keine Datenbank und keine komplizierte Taxonomie. Drei Arten von Notizen reichen: Quellen halten fest, was du gesehen oder gelesen hast. Entscheidungen halten fest, was für dein Projekt gilt. Arbeitsnotizen verbinden beides mit einer nächsten Handlung.</w:t>
      </w:r>
    </w:p>
    <w:p>
      <w:pPr>
        <w:spacing w:before="0" w:after="160" w:line="322" w:lineRule="auto"/>
      </w:pPr>
      <w:r>
        <w:rPr>
          <w:rFonts w:ascii="Source Serif 4" w:hAnsi="Source Serif 4" w:eastAsia="Source Serif 4"/>
          <w:b w:val="0"/>
          <w:i w:val="0"/>
          <w:color w:val="1A2334"/>
          <w:sz w:val="22"/>
        </w:rPr>
        <w:t>Ordner geben einen ruhigen Rahmen. Verknüpfungen geben Bedeutung. Eine Notiz über ein Kundengespräch wird wertvoll, wenn sie auf die getroffene Entscheidung und auf den daraus entstandenen Entwurf verweist. So entsteht kein isolierter Stapel, sondern ein nachvollziehbarer Weg.</w:t>
      </w:r>
    </w:p>
    <w:p>
      <w:pPr>
        <w:spacing w:before="360" w:after="140"/>
      </w:pPr>
      <w:r>
        <w:rPr>
          <w:rFonts w:ascii="Fraunces" w:hAnsi="Fraunces" w:eastAsia="Fraunces"/>
          <w:b/>
          <w:i w:val="0"/>
          <w:color w:val="1A2334"/>
          <w:sz w:val="36"/>
        </w:rPr>
        <w:t>Für Menschen lesbar, für Modelle anschlussfähig</w:t>
      </w:r>
    </w:p>
    <w:p>
      <w:pPr>
        <w:spacing w:before="0" w:after="160" w:line="322" w:lineRule="auto"/>
      </w:pPr>
      <w:r>
        <w:rPr>
          <w:rFonts w:ascii="Source Serif 4" w:hAnsi="Source Serif 4" w:eastAsia="Source Serif 4"/>
          <w:b w:val="0"/>
          <w:i w:val="0"/>
          <w:color w:val="1A2334"/>
          <w:sz w:val="22"/>
        </w:rPr>
        <w:t>Eine gute Wissensbasis muss nicht geheimnisvoll oder technisch sein. Klare Überschriften, kurze Absätze, ein Datum, ein verantwortlicher Stand und eindeutige Links machen sie für dich lesbar. Genau diese Klarheit hilft auch einem Modell: Es kann die relevanten Stellen gezielter finden, statt einen ungeordneten Berg aus Material zu deuten.</w:t>
      </w:r>
    </w:p>
    <w:p>
      <w:pPr>
        <w:spacing w:before="0" w:after="160" w:line="322" w:lineRule="auto"/>
      </w:pPr>
      <w:r>
        <w:rPr>
          <w:rFonts w:ascii="Source Serif 4" w:hAnsi="Source Serif 4" w:eastAsia="Source Serif 4"/>
          <w:b w:val="0"/>
          <w:i w:val="0"/>
          <w:color w:val="1A2334"/>
          <w:sz w:val="22"/>
        </w:rPr>
        <w:t>Das Ziel ist nicht, einem Modell dein Denken zu überlassen. Das Ziel ist, dein Denken so festzuhalten, dass du selbst entscheiden kannst, was übernommen, verworfen oder weiterentwickelt wird.</w:t>
      </w:r>
    </w:p>
    <w:p>
      <w:pPr>
        <w:spacing w:before="360" w:after="140"/>
      </w:pPr>
      <w:r>
        <w:rPr>
          <w:rFonts w:ascii="Fraunces" w:hAnsi="Fraunces" w:eastAsia="Fraunces"/>
          <w:b/>
          <w:i w:val="0"/>
          <w:color w:val="1A2334"/>
          <w:sz w:val="36"/>
        </w:rPr>
        <w:t>Ein kleiner Vault, der wachsen darf</w:t>
      </w:r>
    </w:p>
    <w:tbl>
      <w:tblPr>
        <w:tblW w:type="auto" w:w="0"/>
        <w:jc w:val="center"/>
        <w:tblLook w:firstColumn="1" w:firstRow="1" w:lastColumn="0" w:lastRow="0" w:noHBand="0" w:noVBand="1" w:val="04A0"/>
      </w:tblPr>
      <w:tblGrid>
        <w:gridCol w:w="9878"/>
      </w:tblGrid>
      <w:tr>
        <w:tc>
          <w:tcPr>
            <w:tcW w:type="dxa" w:w="9878"/>
            <w:shd w:fill="F6F8FC"/>
            <w:tcMar>
              <w:top w:w="180" w:type="dxa"/>
              <w:start w:w="210" w:type="dxa"/>
              <w:bottom w:w="180" w:type="dxa"/>
              <w:end w:w="210" w:type="dxa"/>
            </w:tcMar>
          </w:tcPr>
          <w:p>
            <w:pPr>
              <w:spacing w:after="40"/>
            </w:pPr>
            <w:r>
              <w:rPr>
                <w:rFonts w:ascii="IBM Plex Mono" w:hAnsi="IBM Plex Mono" w:eastAsia="IBM Plex Mono"/>
                <w:b/>
                <w:i w:val="0"/>
                <w:color w:val="27334A"/>
                <w:sz w:val="17"/>
              </w:rPr>
              <w:t># PROJEKT: NEUER WEBAUFTRITT</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 Entscheidung: Tonalität</w:t>
            </w:r>
          </w:p>
          <w:p>
            <w:pPr>
              <w:spacing w:after="40"/>
            </w:pPr>
            <w:r>
              <w:rPr>
                <w:rFonts w:ascii="IBM Plex Mono" w:hAnsi="IBM Plex Mono" w:eastAsia="IBM Plex Mono"/>
                <w:b w:val="0"/>
                <w:i w:val="0"/>
                <w:color w:val="27334A"/>
                <w:sz w:val="17"/>
              </w:rPr>
              <w:t>Der Auftritt soll ruhig, präzise und persönlich wirken.</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**Begründung:** [[Gespräch mit Kundin]]</w:t>
            </w:r>
          </w:p>
          <w:p>
            <w:pPr>
              <w:spacing w:after="40"/>
            </w:pPr>
            <w:r>
              <w:rPr>
                <w:rFonts w:ascii="IBM Plex Mono" w:hAnsi="IBM Plex Mono" w:eastAsia="IBM Plex Mono"/>
                <w:b/>
                <w:i w:val="0"/>
                <w:color w:val="27334A"/>
                <w:sz w:val="17"/>
              </w:rPr>
              <w:t>**Folge:** [[Entwurf Startseite]]</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 Quelle: Gespräch mit Kundin</w:t>
            </w:r>
          </w:p>
          <w:p>
            <w:pPr>
              <w:spacing w:after="40"/>
            </w:pPr>
            <w:r>
              <w:rPr>
                <w:rFonts w:ascii="IBM Plex Mono" w:hAnsi="IBM Plex Mono" w:eastAsia="IBM Plex Mono"/>
                <w:b w:val="0"/>
                <w:i w:val="0"/>
                <w:color w:val="27334A"/>
                <w:sz w:val="17"/>
              </w:rPr>
              <w:t>Wichtig sind klare Leistungen, wenig Fachjargon und ein schneller Einstieg.</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**Weiter zu:** [[Entscheidung: Tonalität]]</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 Arbeitsnotiz: Entwurf Startseite</w:t>
            </w:r>
          </w:p>
          <w:p>
            <w:pPr>
              <w:spacing w:after="40"/>
            </w:pPr>
            <w:r>
              <w:rPr>
                <w:rFonts w:ascii="IBM Plex Mono" w:hAnsi="IBM Plex Mono" w:eastAsia="IBM Plex Mono"/>
                <w:b w:val="0"/>
                <w:i w:val="0"/>
                <w:color w:val="27334A"/>
                <w:sz w:val="17"/>
              </w:rPr>
              <w:t>Offen ist noch die Reihenfolge der drei Kernangebote.</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**Grundlage:** [[Entscheidung: Tonalität]]</w:t>
            </w:r>
          </w:p>
        </w:tc>
      </w:tr>
    </w:tbl>
    <w:p>
      <w:pPr>
        <w:spacing w:before="240" w:after="280" w:line="322" w:lineRule="auto"/>
      </w:pPr>
      <w:r>
        <w:rPr>
          <w:rFonts w:ascii="Source Serif 4" w:hAnsi="Source Serif 4" w:eastAsia="Source Serif 4"/>
          <w:b w:val="0"/>
          <w:i w:val="0"/>
          <w:color w:val="1A2334"/>
          <w:sz w:val="22"/>
        </w:rPr>
        <w:t>Ein Second Brain ist kein zweites Ich. Es ist ein verlässlicher Ort zwischen Erinnerung und Entscheidung. Je klarer er wächst, desto weniger musst du immer wieder von vorne erklären – dir selbst, deinem Team oder einem Modell.</w:t>
      </w:r>
    </w:p>
    <w:p>
      <w:r>
        <w:br w:type="page"/>
      </w:r>
    </w:p>
    <w:p>
      <w:pPr>
        <w:spacing w:after="140"/>
      </w:pPr>
      <w:r>
        <w:rPr>
          <w:rFonts w:ascii="Fraunces" w:hAnsi="Fraunces" w:eastAsia="Fraunces"/>
          <w:b/>
          <w:i w:val="0"/>
          <w:color w:val="1A2334"/>
          <w:sz w:val="50"/>
        </w:rPr>
        <w:t>Übungsblatt: Baue deinen ersten kleinen Wissensraum</w:t>
      </w:r>
    </w:p>
    <w:p>
      <w:pPr>
        <w:spacing w:before="0" w:after="280" w:line="322" w:lineRule="auto"/>
      </w:pPr>
      <w:r>
        <w:rPr>
          <w:rFonts w:ascii="Source Serif 4" w:hAnsi="Source Serif 4" w:eastAsia="Source Serif 4"/>
          <w:b w:val="0"/>
          <w:i w:val="0"/>
          <w:color w:val="1A2334"/>
          <w:sz w:val="22"/>
        </w:rPr>
        <w:t>Wähle ein aktuelles Projekt. Lege drei kurze Markdown-Notizen an und verbinde sie miteinander.</w:t>
      </w: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1</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1. Eine Quelle festhalten</w:t>
            </w:r>
          </w:p>
          <w:p>
            <w:pPr>
              <w:spacing w:line="300" w:lineRule="auto"/>
            </w:pPr>
            <w:r>
              <w:rPr>
                <w:rFonts w:ascii="Source Serif 4" w:hAnsi="Source Serif 4" w:eastAsia="Source Serif 4"/>
                <w:b w:val="0"/>
                <w:i w:val="0"/>
                <w:color w:val="354159"/>
                <w:sz w:val="21"/>
              </w:rPr>
              <w:t>Schreibe auf, was du erfahren hast. Gib der Notiz einen klaren Titel.</w:t>
            </w:r>
          </w:p>
        </w:tc>
      </w:tr>
    </w:tbl>
    <w:p>
      <w:pPr>
        <w:spacing w:after="40"/>
      </w:pP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2</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2. Eine Entscheidung formulieren</w:t>
            </w:r>
          </w:p>
          <w:p>
            <w:pPr>
              <w:spacing w:line="300" w:lineRule="auto"/>
            </w:pPr>
            <w:r>
              <w:rPr>
                <w:rFonts w:ascii="Source Serif 4" w:hAnsi="Source Serif 4" w:eastAsia="Source Serif 4"/>
                <w:b w:val="0"/>
                <w:i w:val="0"/>
                <w:color w:val="354159"/>
                <w:sz w:val="21"/>
              </w:rPr>
              <w:t>Halte fest, was aus der Quelle für dein Projekt folgt – und warum.</w:t>
            </w:r>
          </w:p>
        </w:tc>
      </w:tr>
    </w:tbl>
    <w:p>
      <w:pPr>
        <w:spacing w:after="40"/>
      </w:pP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3</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3. Eine Arbeitsnotiz anlegen</w:t>
            </w:r>
          </w:p>
          <w:p>
            <w:pPr>
              <w:spacing w:line="300" w:lineRule="auto"/>
            </w:pPr>
            <w:r>
              <w:rPr>
                <w:rFonts w:ascii="Source Serif 4" w:hAnsi="Source Serif 4" w:eastAsia="Source Serif 4"/>
                <w:b w:val="0"/>
                <w:i w:val="0"/>
                <w:color w:val="354159"/>
                <w:sz w:val="21"/>
              </w:rPr>
              <w:t>Notiere den nächsten konkreten Schritt und verlinke die Entscheidung.</w:t>
            </w:r>
          </w:p>
        </w:tc>
      </w:tr>
    </w:tbl>
    <w:p>
      <w:pPr>
        <w:spacing w:after="40"/>
      </w:pP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4</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4. Den Weg prüfen</w:t>
            </w:r>
          </w:p>
          <w:p>
            <w:pPr>
              <w:spacing w:line="300" w:lineRule="auto"/>
            </w:pPr>
            <w:r>
              <w:rPr>
                <w:rFonts w:ascii="Source Serif 4" w:hAnsi="Source Serif 4" w:eastAsia="Source Serif 4"/>
                <w:b w:val="0"/>
                <w:i w:val="0"/>
                <w:color w:val="354159"/>
                <w:sz w:val="21"/>
              </w:rPr>
              <w:t>Öffne jede Notiz. Ist in zwei Klicks sichtbar, woher die Entscheidung kommt und was als Nächstes geschieht?</w:t>
            </w:r>
          </w:p>
        </w:tc>
      </w:tr>
    </w:tbl>
    <w:p>
      <w:pPr>
        <w:spacing w:after="40"/>
      </w:pPr>
    </w:p>
    <w:p>
      <w:pPr>
        <w:spacing w:before="200" w:after="140"/>
      </w:pPr>
      <w:r>
        <w:rPr>
          <w:rFonts w:ascii="Fraunces" w:hAnsi="Fraunces" w:eastAsia="Fraunces"/>
          <w:b/>
          <w:i w:val="0"/>
          <w:color w:val="1A2334"/>
          <w:sz w:val="28"/>
        </w:rPr>
        <w:t>Reflexion / Reflection / Yansıtma</w:t>
      </w:r>
    </w:p>
    <w:tbl>
      <w:tblPr>
        <w:tblW w:type="auto" w:w="0"/>
        <w:tblLook w:firstColumn="1" w:firstRow="1" w:lastColumn="0" w:lastRow="0" w:noHBand="0" w:noVBand="1" w:val="04A0"/>
      </w:tblPr>
      <w:tblGrid>
        <w:gridCol w:w="9878"/>
      </w:tblGrid>
      <w:tr>
        <w:tc>
          <w:tcPr>
            <w:tcW w:type="dxa" w:w="9878"/>
            <w:shd w:fill="F6F8FC"/>
            <w:tcMar>
              <w:top w:w="170" w:type="dxa"/>
              <w:start w:w="190" w:type="dxa"/>
              <w:bottom w:w="170" w:type="dxa"/>
              <w:end w:w="190" w:type="dxa"/>
            </w:tcMar>
          </w:tcPr>
          <w:p>
            <w:pPr>
              <w:spacing w:after="160"/>
            </w:pPr>
            <w:r>
              <w:rPr>
                <w:rFonts w:ascii="Source Serif 4" w:hAnsi="Source Serif 4" w:eastAsia="Source Serif 4"/>
                <w:b w:val="0"/>
                <w:i w:val="0"/>
                <w:color w:val="354159"/>
                <w:sz w:val="22"/>
              </w:rPr>
              <w:t>Die Verbindung, die meinem Projekt heute am meisten Klarheit gibt: ____________________________________________</w:t>
            </w:r>
          </w:p>
          <w:p>
            <w:pPr>
              <w:spacing w:after="160"/>
            </w:pPr>
            <w:r>
              <w:rPr>
                <w:rFonts w:ascii="Source Serif 4" w:hAnsi="Source Serif 4" w:eastAsia="Source Serif 4"/>
                <w:b w:val="0"/>
                <w:i w:val="0"/>
                <w:color w:val="354159"/>
                <w:sz w:val="22"/>
              </w:rPr>
            </w:r>
          </w:p>
          <w:p>
            <w:pPr>
              <w:spacing w:after="160"/>
            </w:pPr>
            <w:r>
              <w:rPr>
                <w:rFonts w:ascii="Source Serif 4" w:hAnsi="Source Serif 4" w:eastAsia="Source Serif 4"/>
                <w:b w:val="0"/>
                <w:i w:val="0"/>
                <w:color w:val="354159"/>
                <w:sz w:val="22"/>
              </w:rPr>
              <w:t>Die Notiz, die ich als Nächstes anlege: __________________________________________________________________</w:t>
            </w:r>
          </w:p>
        </w:tc>
      </w:tr>
    </w:tbl>
    <w:sectPr w:rsidR="00FC693F" w:rsidRPr="0006063C" w:rsidSect="00034616">
      <w:footerReference w:type="default" r:id="rId9"/>
      <w:pgSz w:w="12240" w:h="15840"/>
      <w:pgMar w:top="1037" w:right="1181" w:bottom="1008" w:left="118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IBM Plex Mono" w:hAnsi="IBM Plex Mono" w:eastAsia="IBM Plex Mono"/>
        <w:b w:val="0"/>
        <w:i w:val="0"/>
        <w:color w:val="637087"/>
        <w:sz w:val="16"/>
      </w:rPr>
      <w:t>FURKAN SAKIZLI</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Source Serif 4" w:hAnsi="Source Serif 4" w:eastAsia="Source Serif 4"/>
      <w:color w:val="1A2334"/>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