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Metadaten machen Wissen maschinenlesbar</w:t>
      </w:r>
    </w:p>
    <w:p>
      <w:pPr>
        <w:spacing w:after="160" w:line="283" w:lineRule="auto"/>
      </w:pPr>
      <w:r>
        <w:rPr>
          <w:rFonts w:ascii="Aptos" w:hAnsi="Aptos"/>
          <w:b w:val="0"/>
          <w:i w:val="0"/>
          <w:color w:val="637087"/>
          <w:sz w:val="25"/>
        </w:rPr>
        <w:t>Wie klare Felder, kontrollierte Begriffe und testbare Regeln aus Dateien einen steuerbaren Wissensraum für KI machen.</w:t>
      </w:r>
    </w:p>
    <w:p>
      <w:pPr>
        <w:spacing w:after="280" w:line="283" w:lineRule="auto"/>
      </w:pPr>
      <w:r>
        <w:rPr>
          <w:rFonts w:ascii="Aptos" w:hAnsi="Aptos"/>
          <w:b/>
          <w:i w:val="0"/>
          <w:color w:val="4F7CFF"/>
          <w:sz w:val="17"/>
        </w:rPr>
        <w:t>ESSAY · KI-DATENENGINEERING · 12 MIN. LESEZEIT  ·  Furkan Sakızlı</w:t>
      </w:r>
    </w:p>
    <w:p>
      <w:pPr>
        <w:spacing w:after="280"/>
        <w:jc w:val="center"/>
      </w:pPr>
      <w:r>
        <w:drawing>
          <wp:inline xmlns:a="http://schemas.openxmlformats.org/drawingml/2006/main" xmlns:pic="http://schemas.openxmlformats.org/drawingml/2006/picture">
            <wp:extent cx="6126480" cy="3447977"/>
            <wp:docPr id="1" name="Picture 1" title="Metadaten machen Wissen maschinenlesbar" descr="Ivoryfarbene Wissenskarten werden durch blaue Felder, stabile Formen und feine Verbindungen in einem strukturierten Metadatenkatalog organisier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Menschen erschließen Bedeutung aus Kontext. Maschinen brauchen Bedeutung als explizite, konsistente und prüfbare Struktur.</w:t>
            </w:r>
          </w:p>
        </w:tc>
      </w:tr>
    </w:tbl>
    <w:p>
      <w:pPr>
        <w:spacing w:after="140" w:line="283" w:lineRule="auto"/>
      </w:pPr>
      <w:r>
        <w:rPr>
          <w:rFonts w:ascii="Aptos" w:hAnsi="Aptos"/>
          <w:b w:val="0"/>
          <w:i w:val="0"/>
          <w:color w:val="1A2334"/>
          <w:sz w:val="21"/>
        </w:rPr>
        <w:t>Ein Ordner voller Dokumente ist noch kein Wissenssystem. Menschen erkennen häufig aus Erfahrung, dass „Kunde“, „Auftraggeber“ und „Account“ je nach Abteilung dasselbe oder etwas Unterschiedliches meinen. Sie lesen Überschriften, erinnern sich an Verantwortlichkeiten und erkennen, welche Fassung veraltet ist. Eine Maschine besitzt dieses stillschweigende Organisationswissen nicht automatisch.</w:t>
      </w:r>
    </w:p>
    <w:p>
      <w:pPr>
        <w:spacing w:after="140" w:line="283" w:lineRule="auto"/>
      </w:pPr>
      <w:r>
        <w:rPr>
          <w:rFonts w:ascii="Aptos" w:hAnsi="Aptos"/>
          <w:b w:val="0"/>
          <w:i w:val="0"/>
          <w:color w:val="1A2334"/>
          <w:sz w:val="21"/>
        </w:rPr>
        <w:t>Metadaten bilden die Übersetzungsschicht. Sie beschreiben nicht nur, *was in einer Datei steht*, sondern *welches Objekt vorliegt, welchen Status es besitzt, wie es verwendet werden darf und mit welchen anderen Objekten es zusammenhängt*. Dadurch werden Inhalte filterbar, vergleichbar, validierbar und in technischen Prozessen steuerbar.</w:t>
      </w:r>
    </w:p>
    <w:p>
      <w:pPr>
        <w:keepNext/>
        <w:spacing w:before="320" w:after="120"/>
      </w:pPr>
      <w:r>
        <w:rPr>
          <w:rFonts w:ascii="Georgia" w:hAnsi="Georgia"/>
          <w:b/>
          <w:i w:val="0"/>
          <w:color w:val="1A2334"/>
          <w:sz w:val="32"/>
        </w:rPr>
        <w:t>Metadaten sind Betriebslogik, nicht Dekoration</w:t>
      </w:r>
    </w:p>
    <w:p>
      <w:pPr>
        <w:spacing w:after="140" w:line="283" w:lineRule="auto"/>
      </w:pPr>
      <w:r>
        <w:rPr>
          <w:rFonts w:ascii="Aptos" w:hAnsi="Aptos"/>
          <w:b w:val="0"/>
          <w:i w:val="0"/>
          <w:color w:val="1A2334"/>
          <w:sz w:val="21"/>
        </w:rPr>
        <w:t>Ein Titel und drei Schlagwörter verbessern die Suche, reichen aber für belastbare KI-Systeme selten aus. Metadaten übernehmen mehrere Aufgaben, deren Grenzen sich in der Praxis überschneiden können: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**Beschreibende Metadaten** unterstützen Auffindbarkeit und Verständnis: Titel, Zusammenfassung, Thema, Sprache, Zielgruppe und räumlicher oder zeitlicher Geltungsbereich.</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**Strukturelle Metadaten** beschreiben Aufbau und Beziehungen: Kapitel gehört zu Bericht, Tabelle verwendet Einheit, Datensatz besitzt Distribution, Entscheidung ersetzt Vorgänger.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**Administrative Metadaten** steuern Verantwortung und Nutzung: Eigentümerrolle, Freigabestatus, Schutzklasse, Lizenz, Zugriff, Aufbewahrung und Review-Termin.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**Technische Metadaten** dokumentieren Verarbeitbarkeit: Format, Medientyp, Zeichenkodierung, Schema, Größe, Prüfsumme und Schnittstellenversion.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**Provenienzmetadaten** verbinden Herkunft und Veränderung: Quelle, Ersteller, Transformationsschritt, Werkzeugversion, Zeitpunkt und Ableitungsbeziehung.</w:t>
            </w:r>
          </w:p>
        </w:tc>
      </w:tr>
    </w:tbl>
    <w:p>
      <w:pPr>
        <w:spacing w:after="140" w:line="283" w:lineRule="auto"/>
      </w:pPr>
      <w:r>
        <w:rPr>
          <w:rFonts w:ascii="Aptos" w:hAnsi="Aptos"/>
          <w:b w:val="0"/>
          <w:i w:val="0"/>
          <w:color w:val="1A2334"/>
          <w:sz w:val="21"/>
        </w:rPr>
        <w:t>Diese Kategorien sind keine universelle Schubladenordnung. Entscheidend ist ihre operative Wirkung. Ein Feld wird nicht aufgenommen, weil es professionell klingt, sondern weil es eine konkrete Auswahl, Kontrolle, Erklärung oder Automatisierung ermöglicht.</w:t>
      </w:r>
    </w:p>
    <w:p>
      <w:pPr>
        <w:keepNext/>
        <w:spacing w:before="320" w:after="120"/>
      </w:pPr>
      <w:r>
        <w:rPr>
          <w:rFonts w:ascii="Georgia" w:hAnsi="Georgia"/>
          <w:b/>
          <w:i w:val="0"/>
          <w:color w:val="1A2334"/>
          <w:sz w:val="32"/>
        </w:rPr>
        <w:t>Zuerst das beschriebene Objekt bestimmen</w:t>
      </w:r>
    </w:p>
    <w:p>
      <w:pPr>
        <w:spacing w:after="140" w:line="283" w:lineRule="auto"/>
      </w:pPr>
      <w:r>
        <w:rPr>
          <w:rFonts w:ascii="Aptos" w:hAnsi="Aptos"/>
          <w:b w:val="0"/>
          <w:i w:val="0"/>
          <w:color w:val="1A2334"/>
          <w:sz w:val="21"/>
        </w:rPr>
        <w:t>Viele Metadatenfehler beginnen damit, dass unklar bleibt, *worauf* sich ein Feld bezieht. Gehört die Lizenz zum abstrakten Datensatz oder zur konkreten CSV-Datei? Beschreibt das Änderungsdatum den Inhalt, den Export oder den Index? Gilt die Sprache für das Gesamtdokument oder einen einzelnen Abschnitt?</w:t>
      </w:r>
    </w:p>
    <w:p>
      <w:pPr>
        <w:spacing w:after="140" w:line="283" w:lineRule="auto"/>
      </w:pPr>
      <w:r>
        <w:rPr>
          <w:rFonts w:ascii="Aptos" w:hAnsi="Aptos"/>
          <w:b w:val="0"/>
          <w:i w:val="0"/>
          <w:color w:val="1A2334"/>
          <w:sz w:val="21"/>
        </w:rPr>
        <w:t>Deshalb braucht jedes beschriebene Objekt eine stabile Kennung und einen klaren Typ. Dokument, Fassung, Abschnitt, Datensatz, Distribution, Modellartefakt und KI-Ausgabe sind unterschiedliche Entitäten. Werden sie in einem Datensatz vermischt, entstehen scheinbare Widersprüche, die eigentlich unterschiedliche Ebenen betreffen.</w:t>
      </w:r>
    </w:p>
    <w:p>
      <w:pPr>
        <w:spacing w:after="140" w:line="283" w:lineRule="auto"/>
      </w:pPr>
      <w:r>
        <w:rPr>
          <w:rFonts w:ascii="Aptos" w:hAnsi="Aptos"/>
          <w:b w:val="0"/>
          <w:i w:val="0"/>
          <w:color w:val="1A2334"/>
          <w:sz w:val="21"/>
        </w:rPr>
        <w:t>Ein stabiles Identitätsmodell erlaubt Beziehungen, ohne auf Dateinamen zu vertrauen. „report_final_2.pdf“ ist keine belastbare Kennung. Eine persistente ID bleibt erhalten, wenn Speicherort oder Anzeigename wechseln. Versionen erhalten eigene IDs und werden durch Beziehungen wie `isVersionOf`, `hasPart`, `derivedFrom` oder `supersedes` verbunden.</w:t>
      </w:r>
    </w:p>
    <w:p>
      <w:pPr>
        <w:keepNext/>
        <w:spacing w:before="320" w:after="120"/>
      </w:pPr>
      <w:r>
        <w:rPr>
          <w:rFonts w:ascii="Georgia" w:hAnsi="Georgia"/>
          <w:b/>
          <w:i w:val="0"/>
          <w:color w:val="1A2334"/>
          <w:sz w:val="32"/>
        </w:rPr>
        <w:t>Kontrollierte Begriffe verhindern semantische Zersplitterung</w:t>
      </w:r>
    </w:p>
    <w:p>
      <w:pPr>
        <w:spacing w:after="140" w:line="283" w:lineRule="auto"/>
      </w:pPr>
      <w:r>
        <w:rPr>
          <w:rFonts w:ascii="Aptos" w:hAnsi="Aptos"/>
          <w:b w:val="0"/>
          <w:i w:val="0"/>
          <w:color w:val="1A2334"/>
          <w:sz w:val="21"/>
        </w:rPr>
        <w:t>Freie Tags sind schnell eingeführt und ebenso schnell unbrauchbar. Aus „Personal“, „HR“, „Human Resources“, „People“ und Schreibvarianten entstehen getrennte Suchräume. Ein kontrolliertes Vokabular definiert bevorzugte Begriffe, Synonyme, Ober- und Unterbegriffe sowie gegebenenfalls Mapping-Beziehungen zu anderen Vokabularen.</w:t>
      </w:r>
    </w:p>
    <w:p>
      <w:pPr>
        <w:spacing w:after="140" w:line="283" w:lineRule="auto"/>
      </w:pPr>
      <w:r>
        <w:rPr>
          <w:rFonts w:ascii="Aptos" w:hAnsi="Aptos"/>
          <w:b w:val="0"/>
          <w:i w:val="0"/>
          <w:color w:val="1A2334"/>
          <w:sz w:val="21"/>
        </w:rPr>
        <w:t>Das bedeutet nicht, dass jede Organisation eine umfassende Ontologie bauen muss. Oft genügt ein kleines, versioniertes Vokabular für Dokumenttyp, Status, Fachgebiet, Schutzklasse und zulässige Nutzung. Wichtig sind Definition, verantwortliche Rolle, Änderungsverfahren und stabile Codes. Die Benutzeroberfläche darf übersetzte Bezeichnungen anzeigen; die Maschine verarbeitet denselben sprachunabhängigen Code.</w:t>
      </w:r>
    </w:p>
    <w:p>
      <w:pPr>
        <w:spacing w:after="140" w:line="283" w:lineRule="auto"/>
      </w:pPr>
      <w:r>
        <w:rPr>
          <w:rFonts w:ascii="Aptos" w:hAnsi="Aptos"/>
          <w:b w:val="0"/>
          <w:i w:val="0"/>
          <w:color w:val="1A2334"/>
          <w:sz w:val="21"/>
        </w:rPr>
        <w:t>Ein Datenwörterbuch ergänzt diese Ebene. Es beschreibt für jedes Feld Namen, fachliche Definition, Datentyp, Einheit, erlaubte Werte, Kardinalität, Null-Bedeutung, Herkunft und Eigentümer. Besonders wichtig ist die Unterscheidung zwischen „unbekannt“, „nicht erhoben“, „nicht anwendbar“ und leerem technischen Wert. Diese Zustände sind fachlich nicht gleich.</w:t>
      </w:r>
    </w:p>
    <w:p>
      <w:pPr>
        <w:keepNext/>
        <w:spacing w:before="320" w:after="120"/>
      </w:pPr>
      <w:r>
        <w:rPr>
          <w:rFonts w:ascii="Georgia" w:hAnsi="Georgia"/>
          <w:b/>
          <w:i w:val="0"/>
          <w:color w:val="1A2334"/>
          <w:sz w:val="32"/>
        </w:rPr>
        <w:t>Ein Schema macht Erwartungen testbar</w:t>
      </w:r>
    </w:p>
    <w:p>
      <w:pPr>
        <w:spacing w:after="140" w:line="283" w:lineRule="auto"/>
      </w:pPr>
      <w:r>
        <w:rPr>
          <w:rFonts w:ascii="Aptos" w:hAnsi="Aptos"/>
          <w:b w:val="0"/>
          <w:i w:val="0"/>
          <w:color w:val="1A2334"/>
          <w:sz w:val="21"/>
        </w:rPr>
        <w:t>Ein Vokabular sagt, *welche Begriffe* gelten. Ein Schema sagt, *welche Struktur* ein Datensatz erfüllen muss. Es legt Typen, Pflichtfelder, erlaubte Werte, Muster und Abhängigkeiten fest. Ein Anwendungsprofil wählt aus allgemeinen Standards die Felder und Einschränkungen, die für einen konkreten Zweck gelten.</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id: policy-042-v3</w:t>
              <w:br/>
              <w:t>object_type: policy</w:t>
              <w:br/>
              <w:t>title: Reisekostenrichtlinie</w:t>
              <w:br/>
              <w:t>language: de</w:t>
              <w:br/>
              <w:t>status: approved</w:t>
              <w:br/>
              <w:t>valid_from: 2026-04-01</w:t>
              <w:br/>
              <w:t>owner_role: finance_policy_owner</w:t>
              <w:br/>
              <w:t>access_class: internal</w:t>
              <w:br/>
              <w:t>topics: [travel_expenses]</w:t>
              <w:br/>
              <w:t>supersedes: policy-042-v2</w:t>
              <w:br/>
              <w:t>schema_version: knowledge-object-1.2</w:t>
            </w:r>
          </w:p>
        </w:tc>
      </w:tr>
    </w:tbl>
    <w:p>
      <w:pPr>
        <w:spacing w:after="140" w:line="283" w:lineRule="auto"/>
      </w:pPr>
      <w:r>
        <w:rPr>
          <w:rFonts w:ascii="Aptos" w:hAnsi="Aptos"/>
          <w:b w:val="0"/>
          <w:i w:val="0"/>
          <w:color w:val="1A2334"/>
          <w:sz w:val="21"/>
        </w:rPr>
        <w:t>Die Stärke dieses Datensatzes liegt nicht in seiner Länge. Jedes Feld hat eine definierte Bedeutung und beeinflusst einen Prozess. `status` und `valid_from` steuern, ob die Quelle in den aktiven Suchraum gelangt. `access_class` begrenzt Sichtbarkeit. `supersedes` verbindet Fassungen. `schema_version` macht erkennbar, gegen welche Regeln validiert wurde.</w:t>
      </w:r>
    </w:p>
    <w:p>
      <w:pPr>
        <w:keepNext/>
        <w:spacing w:before="320" w:after="120"/>
      </w:pPr>
      <w:r>
        <w:rPr>
          <w:rFonts w:ascii="Georgia" w:hAnsi="Georgia"/>
          <w:b/>
          <w:i w:val="0"/>
          <w:color w:val="1A2334"/>
          <w:sz w:val="32"/>
        </w:rPr>
        <w:t>Validierung ist notwendig, aber kein Wahrheitsbeweis</w:t>
      </w:r>
    </w:p>
    <w:p>
      <w:pPr>
        <w:spacing w:after="140" w:line="283" w:lineRule="auto"/>
      </w:pPr>
      <w:r>
        <w:rPr>
          <w:rFonts w:ascii="Aptos" w:hAnsi="Aptos"/>
          <w:b w:val="0"/>
          <w:i w:val="0"/>
          <w:color w:val="1A2334"/>
          <w:sz w:val="21"/>
        </w:rPr>
        <w:t>Strukturelle Validierung kann feststellen, ob Pflichtfelder vorhanden sind, ein Datum dem erwarteten Format entspricht oder ein Status aus der erlaubten Wertemenge stammt. Sie kann nicht allein entscheiden, ob das Datum sachlich stimmt, die Freigabe wirklich erteilt wurde oder eine Klassifikation angemessen ist.</w:t>
      </w:r>
    </w:p>
    <w:p>
      <w:pPr>
        <w:spacing w:after="140" w:line="283" w:lineRule="auto"/>
      </w:pPr>
      <w:r>
        <w:rPr>
          <w:rFonts w:ascii="Aptos" w:hAnsi="Aptos"/>
          <w:b w:val="0"/>
          <w:i w:val="0"/>
          <w:color w:val="1A2334"/>
          <w:sz w:val="21"/>
        </w:rPr>
        <w:t>Darum braucht Metadatenqualität mindestens drei Ebenen. **Syntaktische Qualität** prüft Format und Typ. **Semantische Qualität** prüft, ob Werte den definierten Begriffen entsprechen. **Prozessqualität** prüft, ob Erfassung, Bestätigung und Änderung durch berechtigte Rollen erfolgten.</w:t>
      </w:r>
    </w:p>
    <w:p>
      <w:pPr>
        <w:spacing w:after="140" w:line="283" w:lineRule="auto"/>
      </w:pPr>
      <w:r>
        <w:rPr>
          <w:rFonts w:ascii="Aptos" w:hAnsi="Aptos"/>
          <w:b w:val="0"/>
          <w:i w:val="0"/>
          <w:color w:val="1A2334"/>
          <w:sz w:val="21"/>
        </w:rPr>
        <w:t>Ein Feld `approved` ist wertlos, wenn jede Person es setzen kann. Ein Pflichtfeld erzeugt nur Scheingenauigkeit, wenn Mitarbeitende mangels Information Fantasiewerte eintragen. Gute Formulare bieten zulässige „unbekannt“-Zustände, erklären die Bedeutung und eskalieren fehlende kritische Angaben.</w:t>
      </w:r>
    </w:p>
    <w:p>
      <w:pPr>
        <w:keepNext/>
        <w:spacing w:before="320" w:after="120"/>
      </w:pPr>
      <w:r>
        <w:rPr>
          <w:rFonts w:ascii="Georgia" w:hAnsi="Georgia"/>
          <w:b/>
          <w:i w:val="0"/>
          <w:color w:val="1A2334"/>
          <w:sz w:val="32"/>
        </w:rPr>
        <w:t>Für Retrieval zählt die Filterreihenfolge</w:t>
      </w:r>
    </w:p>
    <w:p>
      <w:pPr>
        <w:spacing w:after="140" w:line="283" w:lineRule="auto"/>
      </w:pPr>
      <w:r>
        <w:rPr>
          <w:rFonts w:ascii="Aptos" w:hAnsi="Aptos"/>
          <w:b w:val="0"/>
          <w:i w:val="0"/>
          <w:color w:val="1A2334"/>
          <w:sz w:val="21"/>
        </w:rPr>
        <w:t>Embeddings erfassen semantische Ähnlichkeit, aber nicht automatisch organisatorische Gültigkeit. Ein veralteter Entwurf kann einer Frage ähnlicher sein als die kurze aktuelle Freigabe. Ein vertrauliches Dokument kann inhaltlich perfekt passen und dennoch für die anfragende Person unzulässig sein.</w:t>
      </w:r>
    </w:p>
    <w:p>
      <w:pPr>
        <w:spacing w:after="140" w:line="283" w:lineRule="auto"/>
      </w:pPr>
      <w:r>
        <w:rPr>
          <w:rFonts w:ascii="Aptos" w:hAnsi="Aptos"/>
          <w:b w:val="0"/>
          <w:i w:val="0"/>
          <w:color w:val="1A2334"/>
          <w:sz w:val="21"/>
        </w:rPr>
        <w:t>Deshalb bildet Metadatenfilterung eine eigene Kontrollschicht. Vor der Vektorsuche werden Mandant, Zugriff, Status, Gültigkeitszeitraum, Sprache und zulässiger Zweck geprüft. Anschließend sucht das System innerhalb des erlaubten Kandidatenraums nach semantischer Relevanz. Nach dem Abruf können Deduplizierung, Diversifizierung, Quellenrang und Mindestanforderungen an Evidenz folgen.</w:t>
      </w:r>
    </w:p>
    <w:p>
      <w:pPr>
        <w:spacing w:after="140" w:line="283" w:lineRule="auto"/>
      </w:pPr>
      <w:r>
        <w:rPr>
          <w:rFonts w:ascii="Aptos" w:hAnsi="Aptos"/>
          <w:b w:val="0"/>
          <w:i w:val="0"/>
          <w:color w:val="1A2334"/>
          <w:sz w:val="21"/>
        </w:rPr>
        <w:t>Sicherheitskritische Regeln dürfen nicht nur als Prompttext an das Modell übergeben werden. Zugriff und Mandantentrennung müssen von der Retrieval- und Berechtigungsschicht durchgesetzt werden. Das Modell erhält nur Inhalte, die es für diese Anfrage sehen darf.</w:t>
      </w:r>
    </w:p>
    <w:p>
      <w:pPr>
        <w:spacing w:after="140" w:line="283" w:lineRule="auto"/>
      </w:pPr>
      <w:r>
        <w:rPr>
          <w:rFonts w:ascii="Aptos" w:hAnsi="Aptos"/>
          <w:b w:val="0"/>
          <w:i w:val="0"/>
          <w:color w:val="1A2334"/>
          <w:sz w:val="21"/>
        </w:rPr>
        <w:t>Metadaten wirken außerdem auf Chunk-Ebene. Ein extrahierter Abschnitt sollte seine Dokument-ID, Abschnittsposition, Überschrift, Sprache, Version, Status und Berechtigungsreferenz erben. Ohne diese Verknüpfung verliert ein Textsegment beim Indexieren seinen fachlichen Kontext.</w:t>
      </w:r>
    </w:p>
    <w:p>
      <w:pPr>
        <w:keepNext/>
        <w:spacing w:before="320" w:after="120"/>
      </w:pPr>
      <w:r>
        <w:rPr>
          <w:rFonts w:ascii="Georgia" w:hAnsi="Georgia"/>
          <w:b/>
          <w:i w:val="0"/>
          <w:color w:val="1A2334"/>
          <w:sz w:val="32"/>
        </w:rPr>
        <w:t>KI darf Metadaten vorschlagen, nicht unbemerkt festlegen</w:t>
      </w:r>
    </w:p>
    <w:p>
      <w:pPr>
        <w:spacing w:after="140" w:line="283" w:lineRule="auto"/>
      </w:pPr>
      <w:r>
        <w:rPr>
          <w:rFonts w:ascii="Aptos" w:hAnsi="Aptos"/>
          <w:b w:val="0"/>
          <w:i w:val="0"/>
          <w:color w:val="1A2334"/>
          <w:sz w:val="21"/>
        </w:rPr>
        <w:t>Modelle können Dokumenttypen klassifizieren, Themen vorschlagen, Entitäten erkennen und mögliche Beziehungen markieren. Das ist wertvolle Vorarbeit. Bei kritischen Feldern wie Schutzklasse, Freigabe, Rechtsgrundlage oder Gültigkeit darf ein Vorschlag jedoch nicht still zum Fakt werden.</w:t>
      </w:r>
    </w:p>
    <w:p>
      <w:pPr>
        <w:spacing w:after="140" w:line="283" w:lineRule="auto"/>
      </w:pPr>
      <w:r>
        <w:rPr>
          <w:rFonts w:ascii="Aptos" w:hAnsi="Aptos"/>
          <w:b w:val="0"/>
          <w:i w:val="0"/>
          <w:color w:val="1A2334"/>
          <w:sz w:val="21"/>
        </w:rPr>
        <w:t>Jeder maschinelle Vorschlag sollte Ausgangsobjekt, Modell- oder Regelversion, Konfidenz, Begründung, Zeitpunkt und Entscheidungsstatus tragen. Abgelehnte Vorschläge bleiben als Lernsignal nachvollziehbar. Für risikoarme Felder kann ein Schwellenwert automatische Übernahme erlauben; bei hoher Auswirkung ist Bestätigung durch eine verantwortliche Rolle erforderlich.</w:t>
      </w:r>
    </w:p>
    <w:p>
      <w:pPr>
        <w:spacing w:after="140" w:line="283" w:lineRule="auto"/>
      </w:pPr>
      <w:r>
        <w:rPr>
          <w:rFonts w:ascii="Aptos" w:hAnsi="Aptos"/>
          <w:b w:val="0"/>
          <w:i w:val="0"/>
          <w:color w:val="1A2334"/>
          <w:sz w:val="21"/>
        </w:rPr>
        <w:t>Auch die Messung muss feldbezogen erfolgen. Eine durchschnittliche Tagging-Genauigkeit verdeckt, dass seltene Schutzklassen besonders häufig verwechselt werden. Evaluation braucht deshalb Klassenverteilung, kritische Fehlertypen, Abstention und Kosten falscher Zuordnung.</w:t>
      </w:r>
    </w:p>
    <w:p>
      <w:pPr>
        <w:keepNext/>
        <w:spacing w:before="320" w:after="120"/>
      </w:pPr>
      <w:r>
        <w:rPr>
          <w:rFonts w:ascii="Georgia" w:hAnsi="Georgia"/>
          <w:b/>
          <w:i w:val="0"/>
          <w:color w:val="1A2334"/>
          <w:sz w:val="32"/>
        </w:rPr>
        <w:t>Schemas und Vokabulare besitzen einen Lebenszyklus</w:t>
      </w:r>
    </w:p>
    <w:p>
      <w:pPr>
        <w:spacing w:after="140" w:line="283" w:lineRule="auto"/>
      </w:pPr>
      <w:r>
        <w:rPr>
          <w:rFonts w:ascii="Aptos" w:hAnsi="Aptos"/>
          <w:b w:val="0"/>
          <w:i w:val="0"/>
          <w:color w:val="1A2334"/>
          <w:sz w:val="21"/>
        </w:rPr>
        <w:t>Die Bedeutung eines Feldes verändert sich. Neue Statuswerte entstehen, Abteilungen werden umbenannt, Kategorien zusammengelegt und Pflichten angepasst. Wird ein Schema ohne Migrationsplan geändert, bleiben alte Datensätze technisch gültig, aber semantisch mehrdeutig.</w:t>
      </w:r>
    </w:p>
    <w:p>
      <w:pPr>
        <w:spacing w:after="140" w:line="283" w:lineRule="auto"/>
      </w:pPr>
      <w:r>
        <w:rPr>
          <w:rFonts w:ascii="Aptos" w:hAnsi="Aptos"/>
          <w:b w:val="0"/>
          <w:i w:val="0"/>
          <w:color w:val="1A2334"/>
          <w:sz w:val="21"/>
        </w:rPr>
        <w:t>Darum benötigen Schema und Vokabular eigene Versionen, Änderungsnotizen, Verantwortliche und Mappings. Eine Änderung unterscheidet kompatible Ergänzung, veränderte Bedeutung und brechende Struktur. Migrationen werden getestet; unbekannte alte Werte werden nicht still einem neuen Begriff zugeordnet.</w:t>
      </w:r>
    </w:p>
    <w:p>
      <w:pPr>
        <w:spacing w:after="140" w:line="283" w:lineRule="auto"/>
      </w:pPr>
      <w:r>
        <w:rPr>
          <w:rFonts w:ascii="Aptos" w:hAnsi="Aptos"/>
          <w:b w:val="0"/>
          <w:i w:val="0"/>
          <w:color w:val="1A2334"/>
          <w:sz w:val="21"/>
        </w:rPr>
        <w:t>Ein Metadatenregister wird damit selbst zu einem verantworteten Datenprodukt. Es dokumentiert Definitionen, Kennungen, Status und Beziehungen der Begriffe, mit denen alle anderen Objekte beschrieben werden.</w:t>
      </w:r>
    </w:p>
    <w:p>
      <w:pPr>
        <w:keepNext/>
        <w:spacing w:before="320" w:after="120"/>
      </w:pPr>
      <w:r>
        <w:rPr>
          <w:rFonts w:ascii="Georgia" w:hAnsi="Georgia"/>
          <w:b/>
          <w:i w:val="0"/>
          <w:color w:val="1A2334"/>
          <w:sz w:val="32"/>
        </w:rPr>
        <w:t>Metadaten werden an ihrer Wirkung getestet</w:t>
      </w:r>
    </w:p>
    <w:p>
      <w:pPr>
        <w:spacing w:after="140" w:line="283" w:lineRule="auto"/>
      </w:pPr>
      <w:r>
        <w:rPr>
          <w:rFonts w:ascii="Aptos" w:hAnsi="Aptos"/>
          <w:b w:val="0"/>
          <w:i w:val="0"/>
          <w:color w:val="1A2334"/>
          <w:sz w:val="21"/>
        </w:rPr>
        <w:t>Die beste Feldliste ist nutzlos, wenn sie nicht zuverlässig befüllt oder im System ignoriert wird. Tests sollten deshalb nicht nur das Schema, sondern die gesamte Wirkungskette prüfen: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Kann jedes Objekt über eine stabile ID erreicht werden?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Werden ungültige Werte und fehlende kritische Felder zurückgewiesen?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Liefert eine Suche nur freigegebene und zum Zeitpunkt gültige Fassungen?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Bleiben Berechtigungen nach Extraktion und Chunking erhalten?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Werden Synonyme auf denselben Konzeptcode abgebildet?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Ist erkennbar, mit welcher Schema- und Vokabularversion ein Datensatz erstellt wurde?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Welche Suchqualität geht verloren, wenn ein Feld fehlt oder falsch ist?</w:t>
            </w:r>
          </w:p>
        </w:tc>
      </w:tr>
    </w:tbl>
    <w:p>
      <w:pPr>
        <w:spacing w:after="140" w:line="283" w:lineRule="auto"/>
      </w:pPr>
      <w:r>
        <w:rPr>
          <w:rFonts w:ascii="Aptos" w:hAnsi="Aptos"/>
          <w:b w:val="0"/>
          <w:i w:val="0"/>
          <w:color w:val="1A2334"/>
          <w:sz w:val="21"/>
        </w:rPr>
        <w:t>Der letzte Test ist besonders aufschlussreich: Metadaten müssen einen messbaren Beitrag leisten. Vergleiche Retrieval mit und ohne Status-, Zeit-, Sprach- und Themenfilter. Prüfe nicht nur Trefferquote, sondern auch unzulässige Treffer, veraltete Evidenz und nicht beantwortbare Fragen.</w:t>
      </w:r>
    </w:p>
    <w:p>
      <w:pPr>
        <w:spacing w:after="140" w:line="283" w:lineRule="auto"/>
      </w:pPr>
      <w:r>
        <w:rPr>
          <w:rFonts w:ascii="Aptos" w:hAnsi="Aptos"/>
          <w:b w:val="0"/>
          <w:i w:val="0"/>
          <w:color w:val="1A2334"/>
          <w:sz w:val="21"/>
        </w:rPr>
        <w:t>Metadaten machen Wissen nicht dadurch maschinenlesbar, dass möglichst viele Felder existieren. Sie schaffen einen kleinen, konsistenten Vertrag zwischen Fachlichkeit und Technik. Erst wenn Definitionen, Werte und Auswirkungen geprüft werden, wird aus einem Dokumentenbestand ein steuerbarer Wissensraum.</w:t>
      </w:r>
    </w:p>
    <w:p>
      <w:pPr>
        <w:keepNext/>
        <w:spacing w:before="320" w:after="120"/>
      </w:pPr>
      <w:r>
        <w:rPr>
          <w:rFonts w:ascii="Georgia" w:hAnsi="Georgia"/>
          <w:b/>
          <w:i w:val="0"/>
          <w:color w:val="1A2334"/>
          <w:sz w:val="32"/>
        </w:rPr>
        <w:t>Übungsblatt: Entwirf ein minimales Metadatenprofil</w:t>
      </w:r>
    </w:p>
    <w:p>
      <w:pPr>
        <w:spacing w:after="140" w:line="283" w:lineRule="auto"/>
      </w:pPr>
      <w:r>
        <w:rPr>
          <w:rFonts w:ascii="Aptos" w:hAnsi="Aptos"/>
          <w:b w:val="0"/>
          <w:i w:val="0"/>
          <w:color w:val="1A2334"/>
          <w:sz w:val="21"/>
        </w:rPr>
        <w:t>Wähle einen Wissensraum mit mindestens fünf Dokumenten und einer konkreten KI-Suchaufgabe.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**Objekte trennen:** Definiere Dokument, Fassung und Abschnitt als getrennte Entitäten mit stabilen Kennungen.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**Felder begründen:** Lege zwölf Felder fest. Notiere für jedes Feld, welche Suche, Kontrolle oder Automatisierung davon abhängt.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**Vokabular bauen:** Erstelle kontrollierte Wertelisten für Typ, Status, Fachgebiet und Schutzklasse einschließlich Definitionen und Synonymen.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**Schema formulieren:** Bestimme Datentyp, Pflichtstatus, Kardinalität, erlaubte Null-Zustände und Schema-Version.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**Retrieval testen:** Führe fünf Testfragen mit und ohne Metadatenfilter aus. Protokolliere veraltete, unzulässige und fehlende Treffer.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**KI-Vorschläge prüfen:** Lass Themen und Typen vorschlagen. Bewerte Konfidenz, kritische Fehler und notwendige menschliche Bestätigung.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**Migration simulieren:** Ändere einen Statusbegriff und plane Mapping, Neuvalidierung und Umgang mit unbekannten Altdaten.</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Welches Feld hatte den größten messbaren Einfluss auf Retrieval oder Kontrolle? ______________________________</w:t>
      </w:r>
    </w:p>
    <w:p>
      <w:pPr>
        <w:spacing w:after="140" w:line="283" w:lineRule="auto"/>
      </w:pPr>
      <w:r>
        <w:rPr>
          <w:rFonts w:ascii="Aptos" w:hAnsi="Aptos"/>
          <w:b w:val="0"/>
          <w:i w:val="0"/>
          <w:color w:val="1A2334"/>
          <w:sz w:val="21"/>
        </w:rPr>
        <w:t>Welches Feld sah nützlich aus, hatte aber keinen klaren operativen Zweck? 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[DCMI Metadata Terms](https://www.dublincore.org/specifications/dublin-core/dcmi-terms/) – gepflegte Begriffe für Beschreibung, Rechte, Relationen, Zeitangaben und weitere Metadaten.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Catalog Vocabulary – DCAT 3](https://www.w3.org/TR/vocab-dcat-3/) – RDF-Vokabular zur interoperablen Beschreibung von Datenkatalogen, Datensätzen und Distributionen.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on the Web Best Practices](https://www.w3.org/TR/dwbp/) – Empfehlungen zu menschen- und maschinenlesbaren, beschreibenden und strukturellen Metadaten, Kennungen und Vokabularen.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SKOS Reference](https://www.w3.org/TR/skos-reference/) – Modell zur Darstellung kontrollierter Vokabulare, Taxonomien und Thesauri.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[JSON Schema Validation, Draft 2020-12](https://json-schema.org/draft/2020-12/json-schema-validation) – Vokabular für strukturelle Validierungsregeln wie Typen, Pflichtfelder und erlaubte Werte.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11179-3:2023](https://www.iso.org/standard/78915.html) – Metamodell für gemeinsame Funktionen von Metadatenregistern, darunter Identifikation, Definition, Registrierung, Klassifikation und Mapping.</w:t>
      </w:r>
    </w:p>
    <w:p>
      <w:pPr>
        <w:spacing w:after="140" w:line="283" w:lineRule="auto"/>
      </w:pPr>
      <w:r>
        <w:rPr>
          <w:rFonts w:ascii="Aptos" w:hAnsi="Aptos"/>
          <w:b w:val="0"/>
          <w:i w:val="0"/>
          <w:color w:val="1A2334"/>
          <w:sz w:val="21"/>
        </w:rPr>
        <w:t>*Einordnung:* Metadaten verbessern Auffindbarkeit, Filterung, Interoperabilität und Kontrolle. Sie beweisen nicht automatisch die Wahrheit eines Inhalts. Ein syntaktisch gültiger Datensatz kann fachlich falsch sein; eine fachlich richtige Angabe kann ohne eindeutige Definition maschinell unbrauchbar bleiben. Welche Felder und Standards angemessen sind, hängt vom konkreten Wissensraum, Risiko und Systemdesign ab.</w:t>
      </w:r>
    </w:p>
    <w:p>
      <w:r>
        <w:br w:type="page"/>
      </w:r>
    </w:p>
    <w:p>
      <w:pPr>
        <w:keepNext/>
        <w:spacing w:before="320" w:after="120"/>
      </w:pPr>
      <w:r>
        <w:rPr>
          <w:rFonts w:ascii="Georgia" w:hAnsi="Georgia"/>
          <w:b/>
          <w:i w:val="0"/>
          <w:color w:val="1A2334"/>
          <w:sz w:val="32"/>
        </w:rPr>
        <w:t>Arbeitsvorlage: Metadatenprofil</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Objekttyp / stabile Kennung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Feldname und fachliche Definition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Datentyp / Kardinalität / Null-Zustand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Kontrolliertes Vokabular / erlaubte Werte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Verantwortliche Rolle / Bestätigung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Wirkung auf Suche, Zugriff oder Automation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Schema- und Vokabularversion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Metadaten machen Wissen maschinenlesbar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