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LOKALE KI</w:t>
      </w:r>
    </w:p>
    <w:p>
      <w:pPr>
        <w:spacing w:after="160" w:line="235" w:lineRule="auto"/>
      </w:pPr>
      <w:r>
        <w:rPr>
          <w:rFonts w:ascii="Fraunces" w:hAnsi="Fraunces" w:eastAsia="Fraunces"/>
          <w:b/>
          <w:i w:val="0"/>
          <w:color w:val="1A2334"/>
          <w:sz w:val="56"/>
        </w:rPr>
        <w:t>Lokale Sprachmodelle wählen, ohne auf Marketing hereinzufallen</w:t>
      </w:r>
    </w:p>
    <w:p>
      <w:pPr>
        <w:spacing w:after="340" w:line="293" w:lineRule="auto"/>
      </w:pPr>
      <w:r>
        <w:rPr>
          <w:rFonts w:ascii="Source Serif 4" w:hAnsi="Source Serif 4" w:eastAsia="Source Serif 4"/>
          <w:b w:val="0"/>
          <w:i/>
          <w:color w:val="637087"/>
          <w:sz w:val="26"/>
        </w:rPr>
        <w:t>Die beste Wahl beginnt nicht mit einem Modellnamen, sondern mit einer ehrlichen Beschreibung der Aufgabe, der Daten und der verfügbaren Umgebung.</w:t>
      </w:r>
    </w:p>
    <w:p>
      <w:pPr>
        <w:spacing w:after="420"/>
      </w:pPr>
      <w:r>
        <w:rPr>
          <w:rFonts w:ascii="IBM Plex Mono" w:hAnsi="IBM Plex Mono" w:eastAsia="IBM Plex Mono"/>
          <w:b w:val="0"/>
          <w:i w:val="0"/>
          <w:color w:val="4F7CFF"/>
          <w:sz w:val="17"/>
        </w:rPr>
        <w:t>9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Die Frage „Welches lokale Modell ist das beste?“ klingt vernünftig, führt aber schnell in die falsche Richtung. Ein Modell ist nicht einfach gut oder schlecht. Es ist für eine bestimmte Aufgabe, auf einer bestimmten Hardware, mit einem bestimmten Anspruch an Tempo, Qualität und Vertraulichkeit mehr oder weniger passend. Wer diese Bedingungen zuerst klärt, braucht weniger Marketing und trifft bessere Entscheidungen.</w:t>
            </w:r>
          </w:p>
        </w:tc>
      </w:tr>
    </w:tbl>
    <w:p>
      <w:pPr>
        <w:spacing w:before="360" w:after="140"/>
      </w:pPr>
      <w:r>
        <w:rPr>
          <w:rFonts w:ascii="Fraunces" w:hAnsi="Fraunces" w:eastAsia="Fraunces"/>
          <w:b/>
          <w:i w:val="0"/>
          <w:color w:val="1A2334"/>
          <w:sz w:val="36"/>
        </w:rPr>
        <w:t>Zuerst die Arbeit, dann das Modell</w:t>
      </w:r>
    </w:p>
    <w:p>
      <w:pPr>
        <w:spacing w:before="0" w:after="160" w:line="322" w:lineRule="auto"/>
      </w:pPr>
      <w:r>
        <w:rPr>
          <w:rFonts w:ascii="Source Serif 4" w:hAnsi="Source Serif 4" w:eastAsia="Source Serif 4"/>
          <w:b w:val="0"/>
          <w:i w:val="0"/>
          <w:color w:val="1A2334"/>
          <w:sz w:val="22"/>
        </w:rPr>
        <w:t>Ein lokales Sprachmodell ist kein Pokal, den man gewinnt. Es ist ein Werkzeug in einem Arbeitsablauf. Deshalb beginnt die Auswahl mit einer Szene: Soll es Notizen sortieren, Texte überarbeiten, aus vertraulichen Unterlagen Fragen beantworten, Code erklären oder einen wiederholbaren Entwurf vorbereiten? Eine konkrete Szene macht sichtbar, was das Ergebnis leisten muss.</w:t>
      </w:r>
    </w:p>
    <w:p>
      <w:pPr>
        <w:spacing w:before="0" w:after="160" w:line="322" w:lineRule="auto"/>
      </w:pPr>
      <w:r>
        <w:rPr>
          <w:rFonts w:ascii="Source Serif 4" w:hAnsi="Source Serif 4" w:eastAsia="Source Serif 4"/>
          <w:b w:val="0"/>
          <w:i w:val="0"/>
          <w:color w:val="1A2334"/>
          <w:sz w:val="22"/>
        </w:rPr>
        <w:t>Formuliere dafür nicht nur die gewünschte Antwort, sondern auch den Maßstab. Darf eine Antwort etwas langsamer sein, wenn sie sorgfältiger wird? Muss sie ohne Internet funktionieren? Reicht ein Entwurf, den jemand prüft, oder soll sie Informationen exakt aus bereitgestelltem Material wiederfinden? Erst diese Fragen geben Wörtern wie Qualität, Geschwindigkeit und Datenschutz eine praktische Bedeutung.</w:t>
      </w:r>
    </w:p>
    <w:p>
      <w:pPr>
        <w:spacing w:before="360" w:after="140"/>
      </w:pPr>
      <w:r>
        <w:rPr>
          <w:rFonts w:ascii="Fraunces" w:hAnsi="Fraunces" w:eastAsia="Fraunces"/>
          <w:b/>
          <w:i w:val="0"/>
          <w:color w:val="1A2334"/>
          <w:sz w:val="36"/>
        </w:rPr>
        <w:t>Vier Grenzen bestimmen die Wahl</w:t>
      </w:r>
    </w:p>
    <w:p>
      <w:pPr>
        <w:spacing w:before="0" w:after="160" w:line="322" w:lineRule="auto"/>
      </w:pPr>
      <w:r>
        <w:rPr>
          <w:rFonts w:ascii="Source Serif 4" w:hAnsi="Source Serif 4" w:eastAsia="Source Serif 4"/>
          <w:b w:val="0"/>
          <w:i w:val="0"/>
          <w:color w:val="1A2334"/>
          <w:sz w:val="22"/>
        </w:rPr>
        <w:t>Die erste Grenze ist die Aufgabe selbst. Ein Modell, das frei formulieren soll, wird anders beurteilt als eines, das Material zusammenfasst. Die zweite Grenze ist die Umgebung: verfügbare Rechenleistung, Arbeitsspeicher, Speicherplatz, Energie und die Bereitschaft, Wartezeit zu akzeptieren. Die dritte Grenze ist der Umgang mit Daten. Die vierte ist die Bedienbarkeit: Wer richtet das System ein, aktualisiert es, beobachtet Fehler und hilft, wenn etwas nicht mehr funktioniert?</w:t>
      </w:r>
    </w:p>
    <w:p>
      <w:pPr>
        <w:spacing w:before="0" w:after="160" w:line="322" w:lineRule="auto"/>
      </w:pPr>
      <w:r>
        <w:rPr>
          <w:rFonts w:ascii="Source Serif 4" w:hAnsi="Source Serif 4" w:eastAsia="Source Serif 4"/>
          <w:b w:val="0"/>
          <w:i w:val="0"/>
          <w:color w:val="1A2334"/>
          <w:sz w:val="22"/>
        </w:rPr>
        <w:t>Diese Grenzen sind keine technischen Nebensätze. Sie entscheiden darüber, ob ein Vorhaben nach einer beeindruckenden Vorführung im Alltag weiterlebt. Ein kleiner, stabiler Ablauf kann wertvoller sein als ein großes Modell, das nur unter idealen Bedingungen angenehm nutzbar ist.</w:t>
      </w:r>
    </w:p>
    <w:p>
      <w:pPr>
        <w:spacing w:before="360" w:after="140"/>
      </w:pPr>
      <w:r>
        <w:rPr>
          <w:rFonts w:ascii="Fraunces" w:hAnsi="Fraunces" w:eastAsia="Fraunces"/>
          <w:b/>
          <w:i w:val="0"/>
          <w:color w:val="1A2334"/>
          <w:sz w:val="36"/>
        </w:rPr>
        <w:t>Größe ist kein Qualitätsurteil</w:t>
      </w:r>
    </w:p>
    <w:p>
      <w:pPr>
        <w:spacing w:before="0" w:after="160" w:line="322" w:lineRule="auto"/>
      </w:pPr>
      <w:r>
        <w:rPr>
          <w:rFonts w:ascii="Source Serif 4" w:hAnsi="Source Serif 4" w:eastAsia="Source Serif 4"/>
          <w:b w:val="0"/>
          <w:i w:val="0"/>
          <w:color w:val="1A2334"/>
          <w:sz w:val="22"/>
        </w:rPr>
        <w:t>Größere Modelle können bei manchen Aufgaben mehr Spielraum bieten. Gleichzeitig benötigen sie in der Regel mehr Ressourcen und können langsamer reagieren. Kleinere Modelle können schneller, einfacher zu betreiben und für eng gefasste Aufgaben völlig ausreichend sein. Daraus folgt keine feste Rangliste, sondern eine Testfrage: Welche Qualität verändert in dieser konkreten Arbeit wirklich eine Entscheidung?</w:t>
      </w:r>
    </w:p>
    <w:p>
      <w:pPr>
        <w:spacing w:before="0" w:after="160" w:line="322" w:lineRule="auto"/>
      </w:pPr>
      <w:r>
        <w:rPr>
          <w:rFonts w:ascii="Source Serif 4" w:hAnsi="Source Serif 4" w:eastAsia="Source Serif 4"/>
          <w:b w:val="0"/>
          <w:i w:val="0"/>
          <w:color w:val="1A2334"/>
          <w:sz w:val="22"/>
        </w:rPr>
        <w:t>Auch technische Einstellungen machen aus einer Modellbezeichnung keine Garantie. Sie verändern, wie anspruchsvoll ein Modell zu betreiben ist und wie es sich in einer Umgebung verhält. Wer nur auf Kennzahlen schaut, übersieht die wichtigere Beobachtung: Liefert das System bei realen Beispielen ein Ergebnis, das Menschen prüfen und weiterverwenden können?</w:t>
      </w:r>
    </w:p>
    <w:p>
      <w:pPr>
        <w:spacing w:before="360" w:after="140"/>
      </w:pPr>
      <w:r>
        <w:rPr>
          <w:rFonts w:ascii="Fraunces" w:hAnsi="Fraunces" w:eastAsia="Fraunces"/>
          <w:b/>
          <w:i w:val="0"/>
          <w:color w:val="1A2334"/>
          <w:sz w:val="36"/>
        </w:rPr>
        <w:t>Vergleichen heißt: denselben Fall wiederholen</w:t>
      </w:r>
    </w:p>
    <w:p>
      <w:pPr>
        <w:spacing w:before="0" w:after="160" w:line="322" w:lineRule="auto"/>
      </w:pPr>
      <w:r>
        <w:rPr>
          <w:rFonts w:ascii="Source Serif 4" w:hAnsi="Source Serif 4" w:eastAsia="Source Serif 4"/>
          <w:b w:val="0"/>
          <w:i w:val="0"/>
          <w:color w:val="1A2334"/>
          <w:sz w:val="22"/>
        </w:rPr>
        <w:t>Ein fairer Vergleich braucht nicht zehn bunte Demos. Er braucht wenige echte Fälle, die unter denselben Bedingungen laufen. Lege Material, Aufgabe, gewünschtes Format und Bewertung vorher fest. Dann prüfst du nicht nur den ersten Eindruck, sondern auch: Bleibt die Antwort beim Material? Sagt sie, was sie nicht weiß? Hält sie das vereinbarte Format ein? Und ist die Wartezeit für diese Arbeit akzeptabel?</w:t>
      </w:r>
    </w:p>
    <w:p>
      <w:pPr>
        <w:spacing w:before="0" w:after="160" w:line="322" w:lineRule="auto"/>
      </w:pPr>
      <w:r>
        <w:rPr>
          <w:rFonts w:ascii="Source Serif 4" w:hAnsi="Source Serif 4" w:eastAsia="Source Serif 4"/>
          <w:b w:val="0"/>
          <w:i w:val="0"/>
          <w:color w:val="1A2334"/>
          <w:sz w:val="22"/>
        </w:rPr>
        <w:t>Dokumentiere das Ergebnis knapp. Ein kurzer Testzettel mit Fall, Ergebnis, Fehler, Korrekturaufwand und Betriebserlebnis schützt vor Erinnerungstäuschung. Er zeigt auch, ob ein Modell nur im gelungenen Einzelfall überzeugt oder ob es eine Aufgabe verlässlich genug unterstützt.</w:t>
      </w:r>
    </w:p>
    <w:p>
      <w:pPr>
        <w:spacing w:before="360" w:after="140"/>
      </w:pPr>
      <w:r>
        <w:rPr>
          <w:rFonts w:ascii="Fraunces" w:hAnsi="Fraunces" w:eastAsia="Fraunces"/>
          <w:b/>
          <w:i w:val="0"/>
          <w:color w:val="1A2334"/>
          <w:sz w:val="36"/>
        </w:rPr>
        <w:t>Lokale Nutzung ist eine Verantwortung, keine Eigenschaft</w:t>
      </w:r>
    </w:p>
    <w:p>
      <w:pPr>
        <w:spacing w:before="0" w:after="160" w:line="322" w:lineRule="auto"/>
      </w:pPr>
      <w:r>
        <w:rPr>
          <w:rFonts w:ascii="Source Serif 4" w:hAnsi="Source Serif 4" w:eastAsia="Source Serif 4"/>
          <w:b w:val="0"/>
          <w:i w:val="0"/>
          <w:color w:val="1A2334"/>
          <w:sz w:val="22"/>
        </w:rPr>
        <w:t>Lokal zu arbeiten kann Datenwege und Abhängigkeiten anders gestalten. Es bedeutet aber nicht automatisch, dass Daten sicher sind oder Ergebnisse richtig werden. Zugänge, gespeicherte Dateien, Sicherungen, Updates und Freigaben bleiben Teil des Systems. Ebenso bleibt die fachliche Prüfung bei den Menschen, die das Ergebnis verwenden.</w:t>
      </w:r>
    </w:p>
    <w:p>
      <w:pPr>
        <w:spacing w:before="0" w:after="160" w:line="322" w:lineRule="auto"/>
      </w:pPr>
      <w:r>
        <w:rPr>
          <w:rFonts w:ascii="Source Serif 4" w:hAnsi="Source Serif 4" w:eastAsia="Source Serif 4"/>
          <w:b w:val="0"/>
          <w:i w:val="0"/>
          <w:color w:val="1A2334"/>
          <w:sz w:val="22"/>
        </w:rPr>
        <w:t>Die reifste Entscheidung lautet deshalb selten „nur lokal“ oder „nur online“. Sie lautet: Für welche Aufgabe, welche Daten und welches Risiko ist welcher Arbeitsort passend? Wer diese Frage klar beantworten kann, wählt nicht ein Etikett. Er baut einen Arbeitsablauf, der zum eigenen Anspruch passt.</w:t>
      </w:r>
    </w:p>
    <w:p>
      <w:pPr>
        <w:spacing w:before="360" w:after="140"/>
      </w:pPr>
      <w:r>
        <w:rPr>
          <w:rFonts w:ascii="Fraunces" w:hAnsi="Fraunces" w:eastAsia="Fraunces"/>
          <w:b/>
          <w:i w:val="0"/>
          <w:color w:val="1A2334"/>
          <w:sz w:val="36"/>
        </w:rPr>
        <w:t>Die Wahlkarte für ein lokales Modell</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MEINE WAHLKARTE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**Arbeitsfall**</w:t>
            </w:r>
          </w:p>
          <w:p>
            <w:pPr>
              <w:spacing w:after="40"/>
            </w:pPr>
            <w:r>
              <w:rPr>
                <w:rFonts w:ascii="IBM Plex Mono" w:hAnsi="IBM Plex Mono" w:eastAsia="IBM Plex Mono"/>
                <w:b w:val="0"/>
                <w:i w:val="0"/>
                <w:color w:val="27334A"/>
                <w:sz w:val="17"/>
              </w:rPr>
              <w:t>Ich möchte damit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**Material und Daten**</w:t>
            </w:r>
          </w:p>
          <w:p>
            <w:pPr>
              <w:spacing w:after="40"/>
            </w:pPr>
            <w:r>
              <w:rPr>
                <w:rFonts w:ascii="IBM Plex Mono" w:hAnsi="IBM Plex Mono" w:eastAsia="IBM Plex Mono"/>
                <w:b w:val="0"/>
                <w:i w:val="0"/>
                <w:color w:val="27334A"/>
                <w:sz w:val="17"/>
              </w:rPr>
              <w:t>Es arbeitet mit … Diese Inhalte dürfen / dürfen nicht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**Ergebnismaßstab**</w:t>
            </w:r>
          </w:p>
          <w:p>
            <w:pPr>
              <w:spacing w:after="40"/>
            </w:pPr>
            <w:r>
              <w:rPr>
                <w:rFonts w:ascii="IBM Plex Mono" w:hAnsi="IBM Plex Mono" w:eastAsia="IBM Plex Mono"/>
                <w:b w:val="0"/>
                <w:i w:val="0"/>
                <w:color w:val="27334A"/>
                <w:sz w:val="17"/>
              </w:rPr>
              <w:t>Ein brauchbares Ergebnis ist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**Umgebung**</w:t>
            </w:r>
          </w:p>
          <w:p>
            <w:pPr>
              <w:spacing w:after="40"/>
            </w:pPr>
            <w:r>
              <w:rPr>
                <w:rFonts w:ascii="IBM Plex Mono" w:hAnsi="IBM Plex Mono" w:eastAsia="IBM Plex Mono"/>
                <w:b w:val="0"/>
                <w:i w:val="0"/>
                <w:color w:val="27334A"/>
                <w:sz w:val="17"/>
              </w:rPr>
              <w:t>Verfügbar sind … Akzeptable Wartezeit: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**Menschliche Prüfung**</w:t>
            </w:r>
          </w:p>
          <w:p>
            <w:pPr>
              <w:spacing w:after="40"/>
            </w:pPr>
            <w:r>
              <w:rPr>
                <w:rFonts w:ascii="IBM Plex Mono" w:hAnsi="IBM Plex Mono" w:eastAsia="IBM Plex Mono"/>
                <w:b w:val="0"/>
                <w:i w:val="0"/>
                <w:color w:val="27334A"/>
                <w:sz w:val="17"/>
              </w:rPr>
              <w:t>Vor der Nutzung prüft jemand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**Testfall**</w:t>
            </w:r>
          </w:p>
          <w:p>
            <w:pPr>
              <w:spacing w:after="40"/>
            </w:pPr>
            <w:r>
              <w:rPr>
                <w:rFonts w:ascii="IBM Plex Mono" w:hAnsi="IBM Plex Mono" w:eastAsia="IBM Plex Mono"/>
                <w:b w:val="0"/>
                <w:i w:val="0"/>
                <w:color w:val="27334A"/>
                <w:sz w:val="17"/>
              </w:rPr>
              <w:t>Derselbe Fall für jeden Vergleich: …</w:t>
            </w:r>
          </w:p>
        </w:tc>
      </w:tr>
    </w:tbl>
    <w:p>
      <w:pPr>
        <w:spacing w:before="240" w:after="280" w:line="322" w:lineRule="auto"/>
      </w:pPr>
      <w:r>
        <w:rPr>
          <w:rFonts w:ascii="Source Serif 4" w:hAnsi="Source Serif 4" w:eastAsia="Source Serif 4"/>
          <w:b w:val="0"/>
          <w:i w:val="0"/>
          <w:color w:val="1A2334"/>
          <w:sz w:val="22"/>
        </w:rPr>
        <w:t>Ein gutes lokales Modell ist nicht das mit dem lautesten Versprechen. Es ist das, dessen Stärken, Grenzen und Betrieb zu einer echten Aufgabe passen. Wenn du den Fall klar beschreibst und ihn wiederholbar testest, wird Auswahl zu einer nachvollziehbaren Entscheidung – statt zu einer Sammlung von Namen und Eindrücken.</w:t>
      </w:r>
    </w:p>
    <w:p>
      <w:r>
        <w:br w:type="page"/>
      </w:r>
    </w:p>
    <w:p>
      <w:pPr>
        <w:spacing w:after="140"/>
      </w:pPr>
      <w:r>
        <w:rPr>
          <w:rFonts w:ascii="Fraunces" w:hAnsi="Fraunces" w:eastAsia="Fraunces"/>
          <w:b/>
          <w:i w:val="0"/>
          <w:color w:val="1A2334"/>
          <w:sz w:val="50"/>
        </w:rPr>
        <w:t>Übungsblatt: Triff eine begründete Modellwahl</w:t>
      </w:r>
    </w:p>
    <w:p>
      <w:pPr>
        <w:spacing w:before="0" w:after="280" w:line="322" w:lineRule="auto"/>
      </w:pPr>
      <w:r>
        <w:rPr>
          <w:rFonts w:ascii="Source Serif 4" w:hAnsi="Source Serif 4" w:eastAsia="Source Serif 4"/>
          <w:b w:val="0"/>
          <w:i w:val="0"/>
          <w:color w:val="1A2334"/>
          <w:sz w:val="22"/>
        </w:rPr>
        <w:t>Wähle eine Aufgabe, die du wirklich mit einem lokalen System ausprobieren würdest. Ziel ist nicht, ein „bestes“ Modell zu küren, sondern eine begründete Entscheidung vorzubereiten.</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Einen Arbeitsfall festlegen</w:t>
            </w:r>
          </w:p>
          <w:p>
            <w:pPr>
              <w:spacing w:line="300" w:lineRule="auto"/>
            </w:pPr>
            <w:r>
              <w:rPr>
                <w:rFonts w:ascii="Source Serif 4" w:hAnsi="Source Serif 4" w:eastAsia="Source Serif 4"/>
                <w:b w:val="0"/>
                <w:i w:val="0"/>
                <w:color w:val="354159"/>
                <w:sz w:val="21"/>
              </w:rPr>
              <w:t>Beschreibe die Aufgabe, das Material und die Person, die das Ergebnis anschließend nutzt.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Grenzen sichtbar machen</w:t>
            </w:r>
          </w:p>
          <w:p>
            <w:pPr>
              <w:spacing w:line="300" w:lineRule="auto"/>
            </w:pPr>
            <w:r>
              <w:rPr>
                <w:rFonts w:ascii="Source Serif 4" w:hAnsi="Source Serif 4" w:eastAsia="Source Serif 4"/>
                <w:b w:val="0"/>
                <w:i w:val="0"/>
                <w:color w:val="354159"/>
                <w:sz w:val="21"/>
              </w:rPr>
              <w:t>Notiere Anforderungen an Daten, verfügbare Umgebung, akzeptable Wartezeit und die Art der menschlichen Prüfung.</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Einen Vergleichsfall bauen</w:t>
            </w:r>
          </w:p>
          <w:p>
            <w:pPr>
              <w:spacing w:line="300" w:lineRule="auto"/>
            </w:pPr>
            <w:r>
              <w:rPr>
                <w:rFonts w:ascii="Source Serif 4" w:hAnsi="Source Serif 4" w:eastAsia="Source Serif 4"/>
                <w:b w:val="0"/>
                <w:i w:val="0"/>
                <w:color w:val="354159"/>
                <w:sz w:val="21"/>
              </w:rPr>
              <w:t>Formuliere eine Aufgabe samt gewünschtem Ergebnisformat. Dieser Fall bleibt für alle Kandidaten gleich.</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Nach Kriterien bewerten</w:t>
            </w:r>
          </w:p>
          <w:p>
            <w:pPr>
              <w:spacing w:line="300" w:lineRule="auto"/>
            </w:pPr>
            <w:r>
              <w:rPr>
                <w:rFonts w:ascii="Source Serif 4" w:hAnsi="Source Serif 4" w:eastAsia="Source Serif 4"/>
                <w:b w:val="0"/>
                <w:i w:val="0"/>
                <w:color w:val="354159"/>
                <w:sz w:val="21"/>
              </w:rPr>
              <w:t>Beurteile Materialtreue, Nützlichkeit, Unsicherheitsverhalten, Tempo und Korrekturaufwand mit kurzen Notizen.</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Entscheidung begründen</w:t>
            </w:r>
          </w:p>
          <w:p>
            <w:pPr>
              <w:spacing w:line="300" w:lineRule="auto"/>
            </w:pPr>
            <w:r>
              <w:rPr>
                <w:rFonts w:ascii="Source Serif 4" w:hAnsi="Source Serif 4" w:eastAsia="Source Serif 4"/>
                <w:b w:val="0"/>
                <w:i w:val="0"/>
                <w:color w:val="354159"/>
                <w:sz w:val="21"/>
              </w:rPr>
              <w:t>Halte fest, welcher Kandidat für diesen Arbeitsfall passt – oder warum noch kein Kandidat passt.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Die Grenze, die meine Auswahl am stärksten verändert: 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Mein nächster Testfall: __________________________________________________________________________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Unsicherheit, die ich offen benennen muss: _______________________________________________________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Meine vorläufige Entscheidung für diesen Arbeitsfall: 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Vor einer endgültigen Wahl prüfe ich noch: 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