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KI &amp; ARBEIT</w:t>
      </w:r>
    </w:p>
    <w:p>
      <w:pPr>
        <w:spacing w:after="160" w:line="235" w:lineRule="auto"/>
      </w:pPr>
      <w:r>
        <w:rPr>
          <w:rFonts w:ascii="Fraunces" w:hAnsi="Fraunces" w:eastAsia="Fraunces"/>
          <w:b/>
          <w:i w:val="0"/>
          <w:color w:val="1A2334"/>
          <w:sz w:val="56"/>
        </w:rPr>
        <w:t>Das Kontextfenster ist kein Gedächtnis</w:t>
      </w:r>
    </w:p>
    <w:p>
      <w:pPr>
        <w:spacing w:after="340" w:line="293" w:lineRule="auto"/>
      </w:pPr>
      <w:r>
        <w:rPr>
          <w:rFonts w:ascii="Source Serif 4" w:hAnsi="Source Serif 4" w:eastAsia="Source Serif 4"/>
          <w:b w:val="0"/>
          <w:i/>
          <w:color w:val="637087"/>
          <w:sz w:val="26"/>
        </w:rPr>
        <w:t>Warum lange Chats eine Übergabe brauchen, bevor sie unklar werden.</w:t>
      </w:r>
    </w:p>
    <w:p>
      <w:pPr>
        <w:spacing w:after="420"/>
      </w:pPr>
      <w:r>
        <w:rPr>
          <w:rFonts w:ascii="IBM Plex Mono" w:hAnsi="IBM Plex Mono" w:eastAsia="IBM Plex Mono"/>
          <w:b w:val="0"/>
          <w:i w:val="0"/>
          <w:color w:val="4F7CFF"/>
          <w:sz w:val="17"/>
        </w:rPr>
        <w:t>7 MIN. LESEZEIT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Ein langer Chat kann sich vertraut anfühlen. Vieles wurde bereits erklärt, Entscheidungen wurden getroffen und Dateien lagen einmal auf dem Tisch. Doch Vertrautheit ist kein verlässliches Gedächtnis. Je mehr ein Gespräch mitträgt, desto wichtiger wird es, seinen aktuellen Stand bewusst zu sichern.</w:t>
            </w:r>
          </w:p>
        </w:tc>
      </w:tr>
    </w:tbl>
    <w:p>
      <w:pPr>
        <w:spacing w:before="360" w:after="140"/>
      </w:pPr>
      <w:r>
        <w:rPr>
          <w:rFonts w:ascii="Fraunces" w:hAnsi="Fraunces" w:eastAsia="Fraunces"/>
          <w:b/>
          <w:i w:val="0"/>
          <w:color w:val="1A2334"/>
          <w:sz w:val="36"/>
        </w:rPr>
        <w:t>Ein Gespräch hat einen Arbeitsraum</w:t>
      </w:r>
    </w:p>
    <w:p>
      <w:pPr>
        <w:spacing w:before="0" w:after="160" w:line="322" w:lineRule="auto"/>
      </w:pPr>
      <w:r>
        <w:rPr>
          <w:rFonts w:ascii="Source Serif 4" w:hAnsi="Source Serif 4" w:eastAsia="Source Serif 4"/>
          <w:b w:val="0"/>
          <w:i w:val="0"/>
          <w:color w:val="1A2334"/>
          <w:sz w:val="22"/>
        </w:rPr>
        <w:t>Ein Chat arbeitet mit dem, was gerade im Gespräch und im verfügbaren Material sichtbar ist. Das ist ein Arbeitsraum, kein Archiv. Informationen können überlagert werden, alte Entscheidungen können ihre Priorität verlieren und offene Fragen können untergehen.</w:t>
      </w:r>
    </w:p>
    <w:p>
      <w:pPr>
        <w:spacing w:before="0" w:after="160" w:line="322" w:lineRule="auto"/>
      </w:pPr>
      <w:r>
        <w:rPr>
          <w:rFonts w:ascii="Source Serif 4" w:hAnsi="Source Serif 4" w:eastAsia="Source Serif 4"/>
          <w:b w:val="0"/>
          <w:i w:val="0"/>
          <w:color w:val="1A2334"/>
          <w:sz w:val="22"/>
        </w:rPr>
        <w:t>Das ist kein Grund, lange Projekte zu meiden. Es ist ein Grund, sie in klaren Etappen zu führen.</w:t>
      </w:r>
    </w:p>
    <w:p>
      <w:pPr>
        <w:spacing w:before="360" w:after="140"/>
      </w:pPr>
      <w:r>
        <w:rPr>
          <w:rFonts w:ascii="Fraunces" w:hAnsi="Fraunces" w:eastAsia="Fraunces"/>
          <w:b/>
          <w:i w:val="0"/>
          <w:color w:val="1A2334"/>
          <w:sz w:val="36"/>
        </w:rPr>
        <w:t>Warnzeichen ernst nehmen</w:t>
      </w:r>
    </w:p>
    <w:p>
      <w:pPr>
        <w:spacing w:before="0" w:after="160" w:line="322" w:lineRule="auto"/>
      </w:pPr>
      <w:r>
        <w:rPr>
          <w:rFonts w:ascii="Source Serif 4" w:hAnsi="Source Serif 4" w:eastAsia="Source Serif 4"/>
          <w:b w:val="0"/>
          <w:i w:val="0"/>
          <w:color w:val="1A2334"/>
          <w:sz w:val="22"/>
        </w:rPr>
        <w:t>Wiederholungen, übersehene Vorgaben, überraschende Widersprüche oder Antworten, die nur noch allgemein klingen: Solche Signale bedeuten nicht automatisch, dass alles verloren ist. Sie sagen aber, dass ein kurzer Standabgleich sinnvoll wird.</w:t>
      </w:r>
    </w:p>
    <w:p>
      <w:pPr>
        <w:spacing w:before="0" w:after="160" w:line="322" w:lineRule="auto"/>
      </w:pPr>
      <w:r>
        <w:rPr>
          <w:rFonts w:ascii="Source Serif 4" w:hAnsi="Source Serif 4" w:eastAsia="Source Serif 4"/>
          <w:b w:val="0"/>
          <w:i w:val="0"/>
          <w:color w:val="1A2334"/>
          <w:sz w:val="22"/>
        </w:rPr>
        <w:t>Warte nicht auf den perfekten Bruch. Halte den Stand fest, solange du ihn selbst noch prüfen kannst.</w:t>
      </w:r>
    </w:p>
    <w:p>
      <w:pPr>
        <w:spacing w:before="360" w:after="140"/>
      </w:pPr>
      <w:r>
        <w:rPr>
          <w:rFonts w:ascii="Fraunces" w:hAnsi="Fraunces" w:eastAsia="Fraunces"/>
          <w:b/>
          <w:i w:val="0"/>
          <w:color w:val="1A2334"/>
          <w:sz w:val="36"/>
        </w:rPr>
        <w:t>Eine Übergabe ist ein Neubeginn mit Substanz</w:t>
      </w:r>
    </w:p>
    <w:p>
      <w:pPr>
        <w:spacing w:before="0" w:after="160" w:line="322" w:lineRule="auto"/>
      </w:pPr>
      <w:r>
        <w:rPr>
          <w:rFonts w:ascii="Source Serif 4" w:hAnsi="Source Serif 4" w:eastAsia="Source Serif 4"/>
          <w:b w:val="0"/>
          <w:i w:val="0"/>
          <w:color w:val="1A2334"/>
          <w:sz w:val="22"/>
        </w:rPr>
        <w:t>Eine gute Übergabe enthält nur fünf Dinge: Ziel, bisherige Entscheidungen, verlässliche Materialien, offene Punkte und den nächsten Schritt. Damit kann ein neues Gespräch arbeiten, ohne den gesamten alten Verlauf imitieren zu müssen.</w:t>
      </w:r>
    </w:p>
    <w:p>
      <w:pPr>
        <w:spacing w:before="0" w:after="160" w:line="322" w:lineRule="auto"/>
      </w:pPr>
      <w:r>
        <w:rPr>
          <w:rFonts w:ascii="Source Serif 4" w:hAnsi="Source Serif 4" w:eastAsia="Source Serif 4"/>
          <w:b w:val="0"/>
          <w:i w:val="0"/>
          <w:color w:val="1A2334"/>
          <w:sz w:val="22"/>
        </w:rPr>
        <w:t>Die Übergabe ist keine Zusammenfassung um ihrer selbst willen. Sie ist ein Arbeitsdokument für die nächste Entscheidung.</w:t>
      </w:r>
    </w:p>
    <w:p>
      <w:pPr>
        <w:spacing w:before="360" w:after="140"/>
      </w:pPr>
      <w:r>
        <w:rPr>
          <w:rFonts w:ascii="Fraunces" w:hAnsi="Fraunces" w:eastAsia="Fraunces"/>
          <w:b/>
          <w:i w:val="0"/>
          <w:color w:val="1A2334"/>
          <w:sz w:val="36"/>
        </w:rPr>
        <w:t>Die kleine Übergabe</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ÜBERGABE</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**Ziel**</w:t>
            </w:r>
          </w:p>
          <w:p>
            <w:pPr>
              <w:spacing w:after="40"/>
            </w:pPr>
            <w:r>
              <w:rPr>
                <w:rFonts w:ascii="IBM Plex Mono" w:hAnsi="IBM Plex Mono" w:eastAsia="IBM Plex Mono"/>
                <w:b w:val="0"/>
                <w:i w:val="0"/>
                <w:color w:val="27334A"/>
                <w:sz w:val="17"/>
              </w:rPr>
              <w:t>Wir wollen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**Entschieden**</w:t>
            </w:r>
          </w:p>
          <w:p>
            <w:pPr>
              <w:spacing w:after="40"/>
            </w:pPr>
            <w:r>
              <w:rPr>
                <w:rFonts w:ascii="IBM Plex Mono" w:hAnsi="IBM Plex Mono" w:eastAsia="IBM Plex Mono"/>
                <w:b w:val="0"/>
                <w:i w:val="0"/>
                <w:color w:val="27334A"/>
                <w:sz w:val="17"/>
              </w:rPr>
              <w:t>Fest steht: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**Material**</w:t>
            </w:r>
          </w:p>
          <w:p>
            <w:pPr>
              <w:spacing w:after="40"/>
            </w:pPr>
            <w:r>
              <w:rPr>
                <w:rFonts w:ascii="IBM Plex Mono" w:hAnsi="IBM Plex Mono" w:eastAsia="IBM Plex Mono"/>
                <w:b w:val="0"/>
                <w:i w:val="0"/>
                <w:color w:val="27334A"/>
                <w:sz w:val="17"/>
              </w:rPr>
              <w:t>Verlässlich sind: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**Offen**</w:t>
            </w:r>
          </w:p>
          <w:p>
            <w:pPr>
              <w:spacing w:after="40"/>
            </w:pPr>
            <w:r>
              <w:rPr>
                <w:rFonts w:ascii="IBM Plex Mono" w:hAnsi="IBM Plex Mono" w:eastAsia="IBM Plex Mono"/>
                <w:b w:val="0"/>
                <w:i w:val="0"/>
                <w:color w:val="27334A"/>
                <w:sz w:val="17"/>
              </w:rPr>
              <w:t>Zu klären ist: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**Nächster Schritt**</w:t>
            </w:r>
          </w:p>
          <w:p>
            <w:pPr>
              <w:spacing w:after="40"/>
            </w:pPr>
            <w:r>
              <w:rPr>
                <w:rFonts w:ascii="IBM Plex Mono" w:hAnsi="IBM Plex Mono" w:eastAsia="IBM Plex Mono"/>
                <w:b w:val="0"/>
                <w:i w:val="0"/>
                <w:color w:val="27334A"/>
                <w:sz w:val="17"/>
              </w:rPr>
              <w:t>Als Nächstes: …</w:t>
            </w:r>
          </w:p>
        </w:tc>
      </w:tr>
    </w:tbl>
    <w:p>
      <w:pPr>
        <w:spacing w:before="240" w:after="280" w:line="322" w:lineRule="auto"/>
      </w:pPr>
      <w:r>
        <w:rPr>
          <w:rFonts w:ascii="Source Serif 4" w:hAnsi="Source Serif 4" w:eastAsia="Source Serif 4"/>
          <w:b w:val="0"/>
          <w:i w:val="0"/>
          <w:color w:val="1A2334"/>
          <w:sz w:val="22"/>
        </w:rPr>
        <w:t>Ein neuer Chat ist kein Rückschritt. Mit einer guten Übergabe ist er ein sauberer Neustart: weniger Ballast, mehr Orientierung und eine klare Verantwortung für das, was als Nächstes zählt.</w:t>
      </w:r>
    </w:p>
    <w:p>
      <w:r>
        <w:br w:type="page"/>
      </w:r>
    </w:p>
    <w:p>
      <w:pPr>
        <w:spacing w:after="140"/>
      </w:pPr>
      <w:r>
        <w:rPr>
          <w:rFonts w:ascii="Fraunces" w:hAnsi="Fraunces" w:eastAsia="Fraunces"/>
          <w:b/>
          <w:i w:val="0"/>
          <w:color w:val="1A2334"/>
          <w:sz w:val="50"/>
        </w:rPr>
        <w:t>Übungsblatt: Übergib einen langen Chat</w:t>
      </w:r>
    </w:p>
    <w:p>
      <w:pPr>
        <w:spacing w:before="0" w:after="280" w:line="322" w:lineRule="auto"/>
      </w:pPr>
      <w:r>
        <w:rPr>
          <w:rFonts w:ascii="Source Serif 4" w:hAnsi="Source Serif 4" w:eastAsia="Source Serif 4"/>
          <w:b w:val="0"/>
          <w:i w:val="0"/>
          <w:color w:val="1A2334"/>
          <w:sz w:val="22"/>
        </w:rPr>
        <w:t>Wähle ein laufendes Gespräch und erstelle daraus eine Übergabe mit fünf kurzen Abschnitten.</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Ziel festhalten</w:t>
            </w:r>
          </w:p>
          <w:p>
            <w:pPr>
              <w:spacing w:line="300" w:lineRule="auto"/>
            </w:pPr>
            <w:r>
              <w:rPr>
                <w:rFonts w:ascii="Source Serif 4" w:hAnsi="Source Serif 4" w:eastAsia="Source Serif 4"/>
                <w:b w:val="0"/>
                <w:i w:val="0"/>
                <w:color w:val="354159"/>
                <w:sz w:val="21"/>
              </w:rPr>
              <w:t>Formuliere das aktuelle Ziel in einem Satz.</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Entscheidungen sammeln</w:t>
            </w:r>
          </w:p>
          <w:p>
            <w:pPr>
              <w:spacing w:line="300" w:lineRule="auto"/>
            </w:pPr>
            <w:r>
              <w:rPr>
                <w:rFonts w:ascii="Source Serif 4" w:hAnsi="Source Serif 4" w:eastAsia="Source Serif 4"/>
                <w:b w:val="0"/>
                <w:i w:val="0"/>
                <w:color w:val="354159"/>
                <w:sz w:val="21"/>
              </w:rPr>
              <w:t>Notiere nur Beschlüsse, die weiter gelten.</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Material auswählen</w:t>
            </w:r>
          </w:p>
          <w:p>
            <w:pPr>
              <w:spacing w:line="300" w:lineRule="auto"/>
            </w:pPr>
            <w:r>
              <w:rPr>
                <w:rFonts w:ascii="Source Serif 4" w:hAnsi="Source Serif 4" w:eastAsia="Source Serif 4"/>
                <w:b w:val="0"/>
                <w:i w:val="0"/>
                <w:color w:val="354159"/>
                <w:sz w:val="21"/>
              </w:rPr>
              <w:t>Verlinke oder nenne die wenigen Unterlagen, die wirklich gebraucht werden.</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Offen und nächster Schritt</w:t>
            </w:r>
          </w:p>
          <w:p>
            <w:pPr>
              <w:spacing w:line="300" w:lineRule="auto"/>
            </w:pPr>
            <w:r>
              <w:rPr>
                <w:rFonts w:ascii="Source Serif 4" w:hAnsi="Source Serif 4" w:eastAsia="Source Serif 4"/>
                <w:b w:val="0"/>
                <w:i w:val="0"/>
                <w:color w:val="354159"/>
                <w:sz w:val="21"/>
              </w:rPr>
              <w:t>Halte eine offene Frage und den konkreten nächsten Schritt fest.</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Die Entscheidung, die ich im neuen Gespräch zuerst sichtbar machen werde: 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Der nächste Schritt: __________________________________________________________________________________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