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ESSAY · KI &amp; ARBEIT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Was ein guter KI-Skill wirklich ist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Nicht ein Charakterzug, sondern eine klare, geprüfte Fähigkeit.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7 MIN. LESEZEIT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Ein guter KI-Skill ist keine lange Rollenanweisung und kein dekorativer Titel. Er beschreibt eine wiederholbare Fähigkeit: wofür sie eingesetzt wird, welche Informationen sie braucht, was sie liefern soll und wann sie stoppen oder nachfragen muss.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Fähigkeit statt Persönlichkeit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„Sei ein Experte“ lässt vieles offen. Ein Skill wird erst brauchbar, wenn er einen klaren Arbeitsbereich hat: etwa Eingaben prüfen, einen Entwurf gegen Kriterien lesen oder eine strukturierte Übergabe erstellen.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Je enger eine Fähigkeit beschrieben ist, desto leichter lässt sie sich testen und verbessern.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Vier Bausteine reichen für den Anfang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Ein Skill braucht eine Aufgabe, die nötigen Eingaben, einen überprüfbaren Output und Grenzen. Die Grenzen sind besonders wichtig: Was darf nicht erfunden werden? Wann muss nachgefragt werden? Wann soll ein Mensch entscheiden?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So entsteht kein künstlicher Alleskönner, sondern ein nützliches Werkzeug.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Ein Skill wird an Fällen gelernt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Beschreibe einen normalen Fall, einen schwierigen Fall und einen Fall, in dem der Skill ablehnen oder Rückfragen stellen soll. Erst diese Gegenbeispiele zeigen, ob die Regeln tragen.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Ein Skill ist dann gut, wenn du sein Ergebnis nachvollziehen und korrigieren kannst.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Das Skill-Steckbrief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SKILL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**Kann**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**Braucht**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**Liefert**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**Prüft**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**Fragt nach bei**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**Darf nicht**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Ein guter Skill macht eine KI nicht zu einem Menschen. Er macht eine wiederkehrende Aufgabe klarer, sicherer und leichter überprüfbar.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Übungsblatt: Definiere einen kleinen Skill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Wähle eine wiederkehrende Aufgabe aus deinem Fachgebiet und beschreibe sie mit sechs kurzen Feldern.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Eine Fähigkeit wählen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Formuliere eine einzelne, wiederholbare Aufgabe.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Eingaben und Output bestimmen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Was muss vorliegen, was soll am Ende entstehen?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Grenzen setzen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Wann muss der Skill nachfragen oder stoppen?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Drei Fälle testen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Schreibe einen normalen, schwierigen und unzulässigen Fall.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Die wichtigste Grenze meines Skills: ______________________________________________________________________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Der Fall, an dem ich ihn zuerst testen werde: 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