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MENSCH &amp; KI</w:t>
      </w:r>
    </w:p>
    <w:p>
      <w:pPr>
        <w:spacing w:after="160" w:line="235" w:lineRule="auto"/>
      </w:pPr>
      <w:r>
        <w:rPr>
          <w:rFonts w:ascii="Fraunces" w:hAnsi="Fraunces" w:eastAsia="Fraunces"/>
          <w:b/>
          <w:i w:val="0"/>
          <w:color w:val="1A2334"/>
          <w:sz w:val="56"/>
        </w:rPr>
        <w:t>Die KI promptet zurück: Wie Modelle unser Urteil mitformen</w:t>
      </w:r>
    </w:p>
    <w:p>
      <w:pPr>
        <w:spacing w:after="340" w:line="293" w:lineRule="auto"/>
      </w:pPr>
      <w:r>
        <w:rPr>
          <w:rFonts w:ascii="Source Serif 4" w:hAnsi="Source Serif 4" w:eastAsia="Source Serif 4"/>
          <w:b w:val="0"/>
          <w:i/>
          <w:color w:val="637087"/>
          <w:sz w:val="26"/>
        </w:rPr>
        <w:t>Jede Antwort verändert den nächsten Gedanken. Wer diese Rückwirkung erkennt, kann KI nutzen, ohne die eigene Urteilskraft an ihre sprachliche Sicherheit zu verlieren.</w:t>
      </w:r>
    </w:p>
    <w:p>
      <w:pPr>
        <w:spacing w:after="420"/>
      </w:pPr>
      <w:r>
        <w:rPr>
          <w:rFonts w:ascii="IBM Plex Mono" w:hAnsi="IBM Plex Mono" w:eastAsia="IBM Plex Mono"/>
          <w:b w:val="0"/>
          <w:i w:val="0"/>
          <w:color w:val="4F7CFF"/>
          <w:sz w:val="17"/>
        </w:rPr>
        <w:t>14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Wir sprechen über Prompts, als verlief Einfluss nur in eine Richtung: Der Mensch formuliert eine Frage, die Maschine liefert eine Antwort. In wirklichen Arbeitsprozessen entsteht jedoch eine Schleife. Eine Antwort verändert, welche Option plausibel wirkt, welche Frage als Nächstes gestellt wird und welche Zweifel noch Raum bekommen. Das Modell hat dafür keinen eigenen Willen nötig. Seine Wirkung entsteht bereits durch Auswahl, Ton, Reihenfolge und die große Leichtigkeit, mit der Sprache Gewissheit simulieren kann.</w:t>
            </w:r>
          </w:p>
        </w:tc>
      </w:tr>
    </w:tbl>
    <w:p>
      <w:pPr>
        <w:keepNext/>
        <w:spacing w:before="360" w:after="140"/>
      </w:pPr>
      <w:r>
        <w:rPr>
          <w:rFonts w:ascii="Fraunces" w:hAnsi="Fraunces" w:eastAsia="Fraunces"/>
          <w:b/>
          <w:i w:val="0"/>
          <w:color w:val="1A2334"/>
          <w:sz w:val="36"/>
        </w:rPr>
        <w:t>Eine Antwort ist immer auch ein Eingriff in den Denkraum</w:t>
      </w:r>
    </w:p>
    <w:p>
      <w:pPr>
        <w:spacing w:before="0" w:after="160" w:line="322" w:lineRule="auto"/>
      </w:pPr>
      <w:r>
        <w:rPr>
          <w:rFonts w:ascii="Source Serif 4" w:hAnsi="Source Serif 4" w:eastAsia="Source Serif 4"/>
          <w:b w:val="0"/>
          <w:i w:val="0"/>
          <w:color w:val="1A2334"/>
          <w:sz w:val="22"/>
        </w:rPr>
        <w:t>Eine KI-Antwort transportiert nicht nur Information. Sie ordnet einen Denkraum. Sie beginnt an einem bestimmten Punkt, setzt Begriffe, gewichtet Gründe und beendet manche Pfade, bevor wir sie selbst betreten haben. Schon die erste Gliederung kann zum Anker werden: Was darin vorkommt, erscheint relevant; was fehlt, verschwindet leicht aus der weiteren Arbeit. So beeinflusst die Form einer Antwort nicht nur, was wir wissen, sondern auch, worüber wir weiter nachdenken.</w:t>
      </w:r>
    </w:p>
    <w:p>
      <w:pPr>
        <w:spacing w:before="0" w:after="160" w:line="322" w:lineRule="auto"/>
      </w:pPr>
      <w:r>
        <w:rPr>
          <w:rFonts w:ascii="Source Serif 4" w:hAnsi="Source Serif 4" w:eastAsia="Source Serif 4"/>
          <w:b w:val="0"/>
          <w:i w:val="0"/>
          <w:color w:val="1A2334"/>
          <w:sz w:val="22"/>
        </w:rPr>
        <w:t>Dieser Einfluss ist nicht automatisch Manipulation. Auch ein Buch, ein Gespräch oder eine Suchmaschine lenkt Aufmerksamkeit. Bei generativer KI kommt jedoch eine besondere Kombination hinzu: Die Antwort entsteht sofort, passt sich unserer Sprache an und wirkt persönlich adressiert. Dadurch sinkt die spürbare Distanz zwischen fremdem Vorschlag und eigenem Gedanken. Eine Formulierung, die eben noch vom Modell kam, kann wenige Minuten später wie die natürliche Fortsetzung der eigenen Überlegung erscheinen.</w:t>
      </w:r>
    </w:p>
    <w:p>
      <w:pPr>
        <w:spacing w:before="0" w:after="160" w:line="322" w:lineRule="auto"/>
      </w:pPr>
      <w:r>
        <w:rPr>
          <w:rFonts w:ascii="Source Serif 4" w:hAnsi="Source Serif 4" w:eastAsia="Source Serif 4"/>
          <w:b w:val="0"/>
          <w:i w:val="0"/>
          <w:color w:val="1A2334"/>
          <w:sz w:val="22"/>
        </w:rPr>
        <w:t>Die entscheidende Kompetenz besteht deshalb nicht darin, jeden Einfluss abzuwehren. Sie besteht darin, Einfluss sichtbar zu halten. Wer benennen kann, welche Richtung eine Antwort nahelegt, gewinnt die Freiheit zurück, diese Richtung anzunehmen, zu verändern oder bewusst zu verlassen.</w:t>
      </w:r>
    </w:p>
    <w:p>
      <w:pPr>
        <w:keepNext/>
        <w:spacing w:before="360" w:after="140"/>
      </w:pPr>
      <w:r>
        <w:rPr>
          <w:rFonts w:ascii="Fraunces" w:hAnsi="Fraunces" w:eastAsia="Fraunces"/>
          <w:b/>
          <w:i w:val="0"/>
          <w:color w:val="1A2334"/>
          <w:sz w:val="36"/>
        </w:rPr>
        <w:t>Spiegelung fühlt sich wie Verständnis an</w:t>
      </w:r>
    </w:p>
    <w:p>
      <w:pPr>
        <w:spacing w:before="0" w:after="160" w:line="322" w:lineRule="auto"/>
      </w:pPr>
      <w:r>
        <w:rPr>
          <w:rFonts w:ascii="Source Serif 4" w:hAnsi="Source Serif 4" w:eastAsia="Source Serif 4"/>
          <w:b w:val="0"/>
          <w:i w:val="0"/>
          <w:color w:val="1A2334"/>
          <w:sz w:val="22"/>
        </w:rPr>
        <w:t>Modelle greifen Wörter, Prioritäten und Bewertungen aus einer Anfrage auf. Das macht ihre Antworten anschlussfähig. Gleichzeitig kann diese Spiegelung den Eindruck erzeugen, eine Vermutung sei bereits bestätigt. Wer schreibt, eine Idee sei vermutlich brillant, erhält leicht eine Ausarbeitung, die genau diese Prämisse übernimmt. Wer ein Risiko stark betont, bekommt womöglich einen Text, in dem dieses Risiko den gesamten Horizont bestimmt.</w:t>
      </w:r>
    </w:p>
    <w:p>
      <w:pPr>
        <w:spacing w:before="0" w:after="160" w:line="322" w:lineRule="auto"/>
      </w:pPr>
      <w:r>
        <w:rPr>
          <w:rFonts w:ascii="Source Serif 4" w:hAnsi="Source Serif 4" w:eastAsia="Source Serif 4"/>
          <w:b w:val="0"/>
          <w:i w:val="0"/>
          <w:color w:val="1A2334"/>
          <w:sz w:val="22"/>
        </w:rPr>
        <w:t>Das Problem liegt nicht nur in offener Zustimmung. Auch höfliche Absicherung kann eine Richtung stabilisieren: „Das ist ein sehr guter Ansatz, den man noch verfeinern könnte.“ Der Satz klingt ausgewogen, aber sein Ausgangspunkt bleibt Zustimmung. In wichtigen Entscheidungen sollte deshalb geprüft werden, ob das System eine These wirklich untersucht oder nur ihre sprachliche Welt weiterbaut.</w:t>
      </w:r>
    </w:p>
    <w:p>
      <w:pPr>
        <w:spacing w:before="0" w:after="160" w:line="322" w:lineRule="auto"/>
      </w:pPr>
      <w:r>
        <w:rPr>
          <w:rFonts w:ascii="Source Serif 4" w:hAnsi="Source Serif 4" w:eastAsia="Source Serif 4"/>
          <w:b w:val="0"/>
          <w:i w:val="0"/>
          <w:color w:val="1A2334"/>
          <w:sz w:val="22"/>
        </w:rPr>
        <w:t>Eine einfache Gegenprobe lautet: Formuliere dieselbe Lage einmal ohne deine bevorzugte Schlussfolgerung. Bitte anschließend um die stärkste alternative Deutung und um Bedingungen, unter denen die ursprüngliche These nicht trägt. Gute Zusammenarbeit beginnt dort, wo Anpassungsfähigkeit nicht mit Unabhängigkeit verwechselt wird.</w:t>
      </w:r>
    </w:p>
    <w:p>
      <w:pPr>
        <w:keepNext/>
        <w:spacing w:before="360" w:after="140"/>
      </w:pPr>
      <w:r>
        <w:rPr>
          <w:rFonts w:ascii="Fraunces" w:hAnsi="Fraunces" w:eastAsia="Fraunces"/>
          <w:b/>
          <w:i w:val="0"/>
          <w:color w:val="1A2334"/>
          <w:sz w:val="36"/>
        </w:rPr>
        <w:t>Kognitive Bequemlichkeit verändert den Maßstab</w:t>
      </w:r>
    </w:p>
    <w:p>
      <w:pPr>
        <w:spacing w:before="0" w:after="160" w:line="322" w:lineRule="auto"/>
      </w:pPr>
      <w:r>
        <w:rPr>
          <w:rFonts w:ascii="Source Serif 4" w:hAnsi="Source Serif 4" w:eastAsia="Source Serif 4"/>
          <w:b w:val="0"/>
          <w:i w:val="0"/>
          <w:color w:val="1A2334"/>
          <w:sz w:val="22"/>
        </w:rPr>
        <w:t>Flüssige Sprache ist leicht zu verarbeiten. Was leicht zu verarbeiten ist, wirkt oft vertrauter, vollständiger und plausibler, als es sachlich sein müsste. Generative Systeme verstärken diesen Effekt, weil sie Lücken nicht wie leere Felder aussehen lassen. Sie verbinden Fragmente zu einem geschlossenen Text. Die Geschlossenheit des Textes kann dann mit der Geschlossenheit der Grundlage verwechselt werden.</w:t>
      </w:r>
    </w:p>
    <w:p>
      <w:pPr>
        <w:spacing w:before="0" w:after="160" w:line="322" w:lineRule="auto"/>
      </w:pPr>
      <w:r>
        <w:rPr>
          <w:rFonts w:ascii="Source Serif 4" w:hAnsi="Source Serif 4" w:eastAsia="Source Serif 4"/>
          <w:b w:val="0"/>
          <w:i w:val="0"/>
          <w:color w:val="1A2334"/>
          <w:sz w:val="22"/>
        </w:rPr>
        <w:t>Mit der Zeit kann sich dadurch der Qualitätsmaßstab verschieben. Wir fragen nicht mehr zuerst, ob eine Aussage belastbar ist, sondern ob sie gut klingt und in den bisherigen Entwurf passt. Wir akzeptieren Zusammenfassungen, weil sie ordentlich gegliedert sind, und Empfehlungen, weil sie bereits einen nächsten Schritt enthalten. Diese Verschiebung geschieht selten als bewusste Entscheidung. Sie entsteht aus vielen kleinen Momenten, in denen Prüfen anstrengender ist als Weiterarbeiten.</w:t>
      </w:r>
    </w:p>
    <w:p>
      <w:pPr>
        <w:spacing w:before="0" w:after="160" w:line="322" w:lineRule="auto"/>
      </w:pPr>
      <w:r>
        <w:rPr>
          <w:rFonts w:ascii="Source Serif 4" w:hAnsi="Source Serif 4" w:eastAsia="Source Serif 4"/>
          <w:b w:val="0"/>
          <w:i w:val="0"/>
          <w:color w:val="1A2334"/>
          <w:sz w:val="22"/>
        </w:rPr>
        <w:t>Die Lösung ist nicht permanente Skepsis. Sie ist eine klare Trennung von Lesbarkeit und Geltung. Ein Text darf elegant sein und trotzdem den Status „Entwurf“ tragen. Eine Empfehlung darf nützlich sein und dennoch Annahmen offenlegen. Je wichtiger die Entscheidung, desto deutlicher muss sichtbar bleiben, was Quelle, Ableitung, Möglichkeit und Urteil ist.</w:t>
      </w:r>
    </w:p>
    <w:p>
      <w:pPr>
        <w:keepNext/>
        <w:spacing w:before="360" w:after="140"/>
      </w:pPr>
      <w:r>
        <w:rPr>
          <w:rFonts w:ascii="Fraunces" w:hAnsi="Fraunces" w:eastAsia="Fraunces"/>
          <w:b/>
          <w:i w:val="0"/>
          <w:color w:val="1A2334"/>
          <w:sz w:val="36"/>
        </w:rPr>
        <w:t>Aus einzelnen Antworten entstehen Rückkopplungsschleifen</w:t>
      </w:r>
    </w:p>
    <w:p>
      <w:pPr>
        <w:spacing w:before="0" w:after="160" w:line="322" w:lineRule="auto"/>
      </w:pPr>
      <w:r>
        <w:rPr>
          <w:rFonts w:ascii="Source Serif 4" w:hAnsi="Source Serif 4" w:eastAsia="Source Serif 4"/>
          <w:b w:val="0"/>
          <w:i w:val="0"/>
          <w:color w:val="1A2334"/>
          <w:sz w:val="22"/>
        </w:rPr>
        <w:t>Der stärkste Einfluss liegt oft nicht in einer einzigen Antwort, sondern in der Folge. Ein Modell schlägt eine Struktur vor. Der Mensch übernimmt sie in den nächsten Prompt. Das Modell behandelt die Struktur nun als gegeben und baut sie weiter aus. Nach mehreren Runden wirkt das Ergebnis stabil, obwohl seine erste Weichenstellung nie geprüft wurde. Wiederholung verwandelt eine anfängliche Möglichkeit in eine scheinbare Tatsache.</w:t>
      </w:r>
    </w:p>
    <w:p>
      <w:pPr>
        <w:spacing w:before="0" w:after="160" w:line="322" w:lineRule="auto"/>
      </w:pPr>
      <w:r>
        <w:rPr>
          <w:rFonts w:ascii="Source Serif 4" w:hAnsi="Source Serif 4" w:eastAsia="Source Serif 4"/>
          <w:b w:val="0"/>
          <w:i w:val="0"/>
          <w:color w:val="1A2334"/>
          <w:sz w:val="22"/>
        </w:rPr>
        <w:t>Solche Schleifen können produktiv sein. Sie helfen, einen Gedanken schnell zu konkretisieren. Riskant werden sie, wenn das System nur noch Material auswertet, das es zuvor selbst mitgeprägt hat. Dann schrumpft die Vielfalt möglicher Perspektiven. Begriffe, Beispiele und Prioritäten bestätigen einander, weil sie aus derselben Entstehungskette stammen.</w:t>
      </w:r>
    </w:p>
    <w:p>
      <w:pPr>
        <w:spacing w:before="0" w:after="160" w:line="322" w:lineRule="auto"/>
      </w:pPr>
      <w:r>
        <w:rPr>
          <w:rFonts w:ascii="Source Serif 4" w:hAnsi="Source Serif 4" w:eastAsia="Source Serif 4"/>
          <w:b w:val="0"/>
          <w:i w:val="0"/>
          <w:color w:val="1A2334"/>
          <w:sz w:val="22"/>
        </w:rPr>
        <w:t>Unterbrich deshalb lange Schleifen bewusst. Sichere zunächst den aktuellen Stand. Gib ihn anschließend einem unabhängigen Prüfprozess, der den ursprünglichen Verlauf nicht kennt, oder lies ihn mit einer Gegenhypothese. Die Frage lautet nicht: Ist dieser Text gut? Sie lautet: Welche frühe Annahme trägt heute das meiste Gewicht – und was passiert, wenn sie falsch ist?</w:t>
      </w:r>
    </w:p>
    <w:p>
      <w:pPr>
        <w:keepNext/>
        <w:spacing w:before="360" w:after="140"/>
      </w:pPr>
      <w:r>
        <w:rPr>
          <w:rFonts w:ascii="Fraunces" w:hAnsi="Fraunces" w:eastAsia="Fraunces"/>
          <w:b/>
          <w:i w:val="0"/>
          <w:color w:val="1A2334"/>
          <w:sz w:val="36"/>
        </w:rPr>
        <w:t>Urteil braucht Reibung, Herkunft und Zeit</w:t>
      </w:r>
    </w:p>
    <w:p>
      <w:pPr>
        <w:spacing w:before="0" w:after="160" w:line="322" w:lineRule="auto"/>
      </w:pPr>
      <w:r>
        <w:rPr>
          <w:rFonts w:ascii="Source Serif 4" w:hAnsi="Source Serif 4" w:eastAsia="Source Serif 4"/>
          <w:b w:val="0"/>
          <w:i w:val="0"/>
          <w:color w:val="1A2334"/>
          <w:sz w:val="22"/>
        </w:rPr>
        <w:t>Unabhängiges Urteil entsteht nicht allein im Kopf einer besonders kritischen Person. Es braucht eine Arbeitsarchitektur. Dazu gehören getrennte Rollen für Entwurf und Prüfung, sichtbare Quellen, markierte Annahmen und Momente, in denen ein Ergebnis nicht sofort weiterverarbeitet wird. Ein kurzer Abstand kann wertvoller sein als ein weiterer Prompt, weil er verhindert, dass die Dynamik des Gesprächs selbst zur Begründung wird.</w:t>
      </w:r>
    </w:p>
    <w:p>
      <w:pPr>
        <w:spacing w:before="0" w:after="160" w:line="322" w:lineRule="auto"/>
      </w:pPr>
      <w:r>
        <w:rPr>
          <w:rFonts w:ascii="Source Serif 4" w:hAnsi="Source Serif 4" w:eastAsia="Source Serif 4"/>
          <w:b w:val="0"/>
          <w:i w:val="0"/>
          <w:color w:val="1A2334"/>
          <w:sz w:val="22"/>
        </w:rPr>
        <w:t>Auch die Herkunft einer Aussage muss lesbar bleiben. Stammt sie aus bereitgestelltem Material, aus einer Schlussfolgerung des Modells, aus einer früheren Entscheidung oder aus einer neuen Vermutung? Ohne diese Unterscheidung vermischen sich unterschiedliche Gewichte. Ein nachvollziehbares Projekt hält deshalb nicht nur Ergebnisse fest, sondern auch ihren Status.</w:t>
      </w:r>
    </w:p>
    <w:p>
      <w:pPr>
        <w:spacing w:before="0" w:after="160" w:line="322" w:lineRule="auto"/>
      </w:pPr>
      <w:r>
        <w:rPr>
          <w:rFonts w:ascii="Source Serif 4" w:hAnsi="Source Serif 4" w:eastAsia="Source Serif 4"/>
          <w:b w:val="0"/>
          <w:i w:val="0"/>
          <w:color w:val="1A2334"/>
          <w:sz w:val="22"/>
        </w:rPr>
        <w:t>Reibung bedeutet dabei nicht Bürokratie. Für kleine, reversible Aufgaben reicht ein kurzer Gegencheck. Für Entscheidungen mit großer Wirkung braucht es mehr: unabhängige Quellen, alternative Szenarien und eine Person, die Verantwortung nicht mit dem Modell teilt, sondern selbst übernimmt. Die Prüftiefe folgt dem möglichen Schaden, nicht der sprachlichen Schönheit des Outputs.</w:t>
      </w:r>
    </w:p>
    <w:p>
      <w:pPr>
        <w:keepNext/>
        <w:spacing w:before="360" w:after="140"/>
      </w:pPr>
      <w:r>
        <w:rPr>
          <w:rFonts w:ascii="Fraunces" w:hAnsi="Fraunces" w:eastAsia="Fraunces"/>
          <w:b/>
          <w:i w:val="0"/>
          <w:color w:val="1A2334"/>
          <w:sz w:val="36"/>
        </w:rPr>
        <w:t>Die produktive Rolle des Menschen</w:t>
      </w:r>
    </w:p>
    <w:p>
      <w:pPr>
        <w:spacing w:before="0" w:after="160" w:line="322" w:lineRule="auto"/>
      </w:pPr>
      <w:r>
        <w:rPr>
          <w:rFonts w:ascii="Source Serif 4" w:hAnsi="Source Serif 4" w:eastAsia="Source Serif 4"/>
          <w:b w:val="0"/>
          <w:i w:val="0"/>
          <w:color w:val="1A2334"/>
          <w:sz w:val="22"/>
        </w:rPr>
        <w:t>Menschen müssen nicht jeden Satz selbst schreiben, um die Richtung einer Arbeit zu bestimmen. Ihre unverzichtbare Rolle liegt an anderen Stellen: das Problem wählen, den Maßstab setzen, fehlende Perspektiven bemerken, Folgen abwägen und entscheiden, wann ein Ergebnis verantwortbar ist. KI kann diese Tätigkeiten unterstützen. Sie kann sie aber nicht unbemerkt übernehmen, ohne zugleich den Zweck der Zusammenarbeit zu verändern.</w:t>
      </w:r>
    </w:p>
    <w:p>
      <w:pPr>
        <w:spacing w:before="0" w:after="160" w:line="322" w:lineRule="auto"/>
      </w:pPr>
      <w:r>
        <w:rPr>
          <w:rFonts w:ascii="Source Serif 4" w:hAnsi="Source Serif 4" w:eastAsia="Source Serif 4"/>
          <w:b w:val="0"/>
          <w:i w:val="0"/>
          <w:color w:val="1A2334"/>
          <w:sz w:val="22"/>
        </w:rPr>
        <w:t>Eine reife Nutzung fragt deshalb nicht nur: Wie bekomme ich eine bessere Antwort? Sie fragt auch: Welche Art von Aufmerksamkeit trainiert dieser Ablauf bei mir? Werde ich präziser, weil ich Annahmen sichtbar mache? Oder werde ich abhängiger von fertigen Formulierungen? Erweitert das System meinen Blick, oder macht es vor allem den bereits eingeschlagenen Weg bequemer?</w:t>
      </w:r>
    </w:p>
    <w:p>
      <w:pPr>
        <w:spacing w:before="0" w:after="160" w:line="322" w:lineRule="auto"/>
      </w:pPr>
      <w:r>
        <w:rPr>
          <w:rFonts w:ascii="Source Serif 4" w:hAnsi="Source Serif 4" w:eastAsia="Source Serif 4"/>
          <w:b w:val="0"/>
          <w:i w:val="0"/>
          <w:color w:val="1A2334"/>
          <w:sz w:val="22"/>
        </w:rPr>
        <w:t>Die KI promptet zurück, sobald ihre Antworten unsere nächsten Fragen prägen. Das ist weder ein Grund zur Angst noch ein Nebeneffekt, den man ignorieren sollte. Es ist die zentrale Gestaltungsaufgabe der Zusammenarbeit: Systeme so einzusetzen, dass sie Denken nicht ersetzen, sondern ihm mehr Perspektiven, bessere Prüfungen und bewusstere Entscheidungen ermöglichen.</w:t>
      </w:r>
    </w:p>
    <w:p>
      <w:pPr>
        <w:keepNext/>
        <w:spacing w:before="360" w:after="140"/>
      </w:pPr>
      <w:r>
        <w:rPr>
          <w:rFonts w:ascii="Fraunces" w:hAnsi="Fraunces" w:eastAsia="Fraunces"/>
          <w:b/>
          <w:i w:val="0"/>
          <w:color w:val="1A2334"/>
          <w:sz w:val="36"/>
        </w:rPr>
        <w:t>Das Protokoll für unabhängiges Urteil</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URTEILSPROTOKOLL</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**Ausgangsfrage**</w:t>
            </w:r>
          </w:p>
          <w:p>
            <w:pPr>
              <w:spacing w:after="40"/>
            </w:pPr>
            <w:r>
              <w:rPr>
                <w:rFonts w:ascii="IBM Plex Mono" w:hAnsi="IBM Plex Mono" w:eastAsia="IBM Plex Mono"/>
                <w:b w:val="0"/>
                <w:i w:val="0"/>
                <w:color w:val="27334A"/>
                <w:sz w:val="17"/>
              </w:rPr>
              <w:t>Welche Entscheidung oder Deutung steht tatsächlich an?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**Nahegelegte Richtung**</w:t>
            </w:r>
          </w:p>
          <w:p>
            <w:pPr>
              <w:spacing w:after="40"/>
            </w:pPr>
            <w:r>
              <w:rPr>
                <w:rFonts w:ascii="IBM Plex Mono" w:hAnsi="IBM Plex Mono" w:eastAsia="IBM Plex Mono"/>
                <w:b w:val="0"/>
                <w:i w:val="0"/>
                <w:color w:val="27334A"/>
                <w:sz w:val="17"/>
              </w:rPr>
              <w:t>Wozu bewegt mich die Antwort – ausdrücklich oder indirekt?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**Übernommene Annahmen**</w:t>
            </w:r>
          </w:p>
          <w:p>
            <w:pPr>
              <w:spacing w:after="40"/>
            </w:pPr>
            <w:r>
              <w:rPr>
                <w:rFonts w:ascii="IBM Plex Mono" w:hAnsi="IBM Plex Mono" w:eastAsia="IBM Plex Mono"/>
                <w:b w:val="0"/>
                <w:i w:val="0"/>
                <w:color w:val="27334A"/>
                <w:sz w:val="17"/>
              </w:rPr>
              <w:t>Welche meiner Formulierungen behandelt das Modell als gesetzt?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**Alternative**</w:t>
            </w:r>
          </w:p>
          <w:p>
            <w:pPr>
              <w:spacing w:after="40"/>
            </w:pPr>
            <w:r>
              <w:rPr>
                <w:rFonts w:ascii="IBM Plex Mono" w:hAnsi="IBM Plex Mono" w:eastAsia="IBM Plex Mono"/>
                <w:b w:val="0"/>
                <w:i w:val="0"/>
                <w:color w:val="27334A"/>
                <w:sz w:val="17"/>
              </w:rPr>
              <w:t>Welche gleich plausible Sicht wurde nicht entwickelt?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**Herkunft**</w:t>
            </w:r>
          </w:p>
          <w:p>
            <w:pPr>
              <w:spacing w:after="40"/>
            </w:pPr>
            <w:r>
              <w:rPr>
                <w:rFonts w:ascii="IBM Plex Mono" w:hAnsi="IBM Plex Mono" w:eastAsia="IBM Plex Mono"/>
                <w:b w:val="0"/>
                <w:i w:val="0"/>
                <w:color w:val="27334A"/>
                <w:sz w:val="17"/>
              </w:rPr>
              <w:t>Was ist Quelle, Ableitung, Vermutung oder Werturteil?</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**Gegenprobe**</w:t>
            </w:r>
          </w:p>
          <w:p>
            <w:pPr>
              <w:spacing w:after="40"/>
            </w:pPr>
            <w:r>
              <w:rPr>
                <w:rFonts w:ascii="IBM Plex Mono" w:hAnsi="IBM Plex Mono" w:eastAsia="IBM Plex Mono"/>
                <w:b w:val="0"/>
                <w:i w:val="0"/>
                <w:color w:val="27334A"/>
                <w:sz w:val="17"/>
              </w:rPr>
              <w:t>Was müsste wahr sein, damit die Empfehlung nicht passt?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**Entscheidung**</w:t>
            </w:r>
          </w:p>
          <w:p>
            <w:pPr>
              <w:spacing w:after="40"/>
            </w:pPr>
            <w:r>
              <w:rPr>
                <w:rFonts w:ascii="IBM Plex Mono" w:hAnsi="IBM Plex Mono" w:eastAsia="IBM Plex Mono"/>
                <w:b w:val="0"/>
                <w:i w:val="0"/>
                <w:color w:val="27334A"/>
                <w:sz w:val="17"/>
              </w:rPr>
              <w:t>Was übernehme ich – und wofür trage ich selbst die Verantwortung?</w:t>
            </w:r>
          </w:p>
        </w:tc>
      </w:tr>
    </w:tbl>
    <w:p>
      <w:pPr>
        <w:spacing w:before="240" w:after="280" w:line="322" w:lineRule="auto"/>
      </w:pPr>
      <w:r>
        <w:rPr>
          <w:rFonts w:ascii="Source Serif 4" w:hAnsi="Source Serif 4" w:eastAsia="Source Serif 4"/>
          <w:b w:val="0"/>
          <w:i w:val="0"/>
          <w:color w:val="1A2334"/>
          <w:sz w:val="22"/>
        </w:rPr>
        <w:t>Eine gute KI-Zusammenarbeit erkennt man nicht daran, dass Mensch und Modell immer schneller dieselbe Sprache sprechen. Man erkennt sie daran, dass Verständigung die Zahl der sichtbaren Möglichkeiten vergrößert, Begründungen lesbarer macht und den Menschen an den entscheidenden Stellen urteilsfähiger zurücklässt.</w:t>
      </w:r>
    </w:p>
    <w:p>
      <w:r>
        <w:br w:type="page"/>
      </w:r>
    </w:p>
    <w:p>
      <w:pPr>
        <w:spacing w:after="140"/>
      </w:pPr>
      <w:r>
        <w:rPr>
          <w:rFonts w:ascii="Fraunces" w:hAnsi="Fraunces" w:eastAsia="Fraunces"/>
          <w:b/>
          <w:i w:val="0"/>
          <w:color w:val="1A2334"/>
          <w:sz w:val="50"/>
        </w:rPr>
        <w:t>Übungsblatt: Prüfe eine Antwort auf ihre Rückwirkung</w:t>
      </w:r>
    </w:p>
    <w:p>
      <w:pPr>
        <w:spacing w:before="0" w:after="280" w:line="322" w:lineRule="auto"/>
      </w:pPr>
      <w:r>
        <w:rPr>
          <w:rFonts w:ascii="Source Serif 4" w:hAnsi="Source Serif 4" w:eastAsia="Source Serif 4"/>
          <w:b w:val="0"/>
          <w:i w:val="0"/>
          <w:color w:val="1A2334"/>
          <w:sz w:val="22"/>
        </w:rPr>
        <w:t>Wähle eine KI-Antwort, die eine reale Empfehlung, Planung oder Bewertung beeinflusst. Untersuche nicht nur ihren Inhalt, sondern auch die Richtung, die sie deinem weiteren Denken gibt.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Die Richtung markieren</w:t>
            </w:r>
          </w:p>
          <w:p>
            <w:pPr>
              <w:spacing w:line="300" w:lineRule="auto"/>
            </w:pPr>
            <w:r>
              <w:rPr>
                <w:rFonts w:ascii="Source Serif 4" w:hAnsi="Source Serif 4" w:eastAsia="Source Serif 4"/>
                <w:b w:val="0"/>
                <w:i w:val="0"/>
                <w:color w:val="354159"/>
                <w:sz w:val="21"/>
              </w:rPr>
              <w:t>Fasse in einem Satz zusammen, welche Entscheidung nach dieser Antwort besonders naheliegend erscheint. Markiere anschließend die drei Formulierungen, die diese Richtung am stärksten tragen.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Spiegelung erkennen</w:t>
            </w:r>
          </w:p>
          <w:p>
            <w:pPr>
              <w:spacing w:line="300" w:lineRule="auto"/>
            </w:pPr>
            <w:r>
              <w:rPr>
                <w:rFonts w:ascii="Source Serif 4" w:hAnsi="Source Serif 4" w:eastAsia="Source Serif 4"/>
                <w:b w:val="0"/>
                <w:i w:val="0"/>
                <w:color w:val="354159"/>
                <w:sz w:val="21"/>
              </w:rPr>
              <w:t>Vergleiche Antwort und ursprüngliche Anfrage. Welche Begriffe, Bewertungen oder Prioritäten wurden übernommen, ohne neu geprüft zu werden?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Herkunft trennen</w:t>
            </w:r>
          </w:p>
          <w:p>
            <w:pPr>
              <w:spacing w:line="300" w:lineRule="auto"/>
            </w:pPr>
            <w:r>
              <w:rPr>
                <w:rFonts w:ascii="Source Serif 4" w:hAnsi="Source Serif 4" w:eastAsia="Source Serif 4"/>
                <w:b w:val="0"/>
                <w:i w:val="0"/>
                <w:color w:val="354159"/>
                <w:sz w:val="21"/>
              </w:rPr>
              <w:t>Ordne fünf zentrale Aussagen ein: Quelle, Ableitung, Vermutung oder Werturteil. Alles, was du nicht sicher zuordnen kannst, bleibt offen.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Eine Gegenstimme erzeugen</w:t>
            </w:r>
          </w:p>
          <w:p>
            <w:pPr>
              <w:spacing w:line="300" w:lineRule="auto"/>
            </w:pPr>
            <w:r>
              <w:rPr>
                <w:rFonts w:ascii="Source Serif 4" w:hAnsi="Source Serif 4" w:eastAsia="Source Serif 4"/>
                <w:b w:val="0"/>
                <w:i w:val="0"/>
                <w:color w:val="354159"/>
                <w:sz w:val="21"/>
              </w:rPr>
              <w:t>Formuliere die stärkste alternative Deutung. Bitte um Bedingungen, unter denen die erste Empfehlung ungeeignet oder schädlich wäre.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Entscheidung zurückholen</w:t>
            </w:r>
          </w:p>
          <w:p>
            <w:pPr>
              <w:spacing w:line="300" w:lineRule="auto"/>
            </w:pPr>
            <w:r>
              <w:rPr>
                <w:rFonts w:ascii="Source Serif 4" w:hAnsi="Source Serif 4" w:eastAsia="Source Serif 4"/>
                <w:b w:val="0"/>
                <w:i w:val="0"/>
                <w:color w:val="354159"/>
                <w:sz w:val="21"/>
              </w:rPr>
              <w:t>Notiere, was du übernimmst, was du prüfen musst und welche Entscheidung ausdrücklich bei dir bleibt.</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Annahme, die meine weitere Arbeit bisher am stärksten gelenkt hat: 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Gegenfrage, die ich künftig früher stellen werde: 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