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240" w:line="283" w:lineRule="auto"/>
      </w:pPr>
      <w:r>
        <w:rPr>
          <w:rFonts w:ascii="Aptos" w:hAnsi="Aptos"/>
          <w:b/>
          <w:i w:val="0"/>
          <w:color w:val="4F7CFF"/>
          <w:sz w:val="18"/>
        </w:rPr>
        <w:t>FURKAN SAKIZLI  ·  AI DATA ENGINEERING</w:t>
      </w:r>
    </w:p>
    <w:p>
      <w:pPr>
        <w:spacing w:after="120" w:line="283" w:lineRule="auto"/>
      </w:pPr>
      <w:r>
        <w:rPr>
          <w:rFonts w:ascii="Aptos" w:hAnsi="Aptos"/>
          <w:b/>
          <w:i w:val="0"/>
          <w:color w:val="1A2334"/>
          <w:sz w:val="50"/>
        </w:rPr>
        <w:t>Ein KI-Hinweis allein schafft noch keine Transparenz</w:t>
      </w:r>
    </w:p>
    <w:p>
      <w:pPr>
        <w:spacing w:after="160" w:line="283" w:lineRule="auto"/>
      </w:pPr>
      <w:r>
        <w:rPr>
          <w:rFonts w:ascii="Aptos" w:hAnsi="Aptos"/>
          <w:b w:val="0"/>
          <w:i w:val="0"/>
          <w:color w:val="637087"/>
          <w:sz w:val="25"/>
        </w:rPr>
        <w:t>Warum wirksame Offenlegung Hinweis, Kontext, Herkunft, Handlungspfad und Nachweis zu einer überprüfbaren Schnittstelle verbinden muss.</w:t>
      </w:r>
    </w:p>
    <w:p>
      <w:pPr>
        <w:spacing w:after="280" w:line="283" w:lineRule="auto"/>
      </w:pPr>
      <w:r>
        <w:rPr>
          <w:rFonts w:ascii="Aptos" w:hAnsi="Aptos"/>
          <w:b/>
          <w:i w:val="0"/>
          <w:color w:val="4F7CFF"/>
          <w:sz w:val="17"/>
        </w:rPr>
        <w:t>ESSAY · KI-DATENENGINEERING · 16 MIN. LESEZEIT  ·  Furkan Sakızlı</w:t>
      </w:r>
    </w:p>
    <w:p>
      <w:pPr>
        <w:spacing w:after="280"/>
        <w:jc w:val="center"/>
      </w:pPr>
      <w:r>
        <w:drawing>
          <wp:inline xmlns:a="http://schemas.openxmlformats.org/drawingml/2006/main" xmlns:pic="http://schemas.openxmlformats.org/drawingml/2006/picture">
            <wp:extent cx="6126480" cy="3447977"/>
            <wp:docPr id="1" name="Picture 1" title="Ein KI-Hinweis allein schafft noch keine Transparenz" descr="Eine helle, fünflagige Transparenzschnittstelle verbindet eine zentrale Inhaltskarte mit sichtbarem Hinweis, Kontext, Herkunftsspur, menschlichem Handlungspfad und Audit-Evidenz; eine kleine bernsteinfarbene Lücke markiert verlorene Metadaten."/>
            <wp:cNvGraphicFramePr>
              <a:graphicFrameLocks noChangeAspect="1"/>
            </wp:cNvGraphicFramePr>
            <a:graphic>
              <a:graphicData uri="http://schemas.openxmlformats.org/drawingml/2006/picture">
                <pic:pic>
                  <pic:nvPicPr>
                    <pic:cNvPr id="0" name="titelbild.png"/>
                    <pic:cNvPicPr/>
                  </pic:nvPicPr>
                  <pic:blipFill>
                    <a:blip r:embed="rId11"/>
                    <a:stretch>
                      <a:fillRect/>
                    </a:stretch>
                  </pic:blipFill>
                  <pic:spPr>
                    <a:xfrm>
                      <a:off x="0" y="0"/>
                      <a:ext cx="6126480" cy="3447977"/>
                    </a:xfrm>
                    <a:prstGeom prst="rect"/>
                  </pic:spPr>
                </pic:pic>
              </a:graphicData>
            </a:graphic>
          </wp:inline>
        </w:drawing>
      </w:r>
    </w:p>
    <w:tbl>
      <w:tblPr>
        <w:tblW w:type="auto" w:w="0"/>
        <w:jc w:val="center"/>
        <w:tblLayout w:type="fixed"/>
        <w:tblLook w:firstColumn="1" w:firstRow="1" w:lastColumn="0" w:lastRow="0" w:noHBand="0" w:noVBand="1" w:val="04A0"/>
      </w:tblPr>
      <w:tblGrid>
        <w:gridCol w:w="9504"/>
      </w:tblGrid>
      <w:tr>
        <w:trPr>
          <w:cantSplit/>
        </w:trPr>
        <w:tc>
          <w:tcPr>
            <w:tcW w:type="dxa" w:w="9648"/>
            <w:shd w:fill="EEF1F7"/>
            <w:tcMar>
              <w:top w:w="180" w:type="dxa"/>
              <w:start w:w="220" w:type="dxa"/>
              <w:bottom w:w="180" w:type="dxa"/>
              <w:end w:w="220" w:type="dxa"/>
            </w:tcMar>
          </w:tcPr>
          <w:p>
            <w:pPr>
              <w:spacing w:line="276" w:lineRule="auto"/>
            </w:pPr>
            <w:r>
              <w:rPr>
                <w:rFonts w:ascii="Georgia" w:hAnsi="Georgia"/>
                <w:b w:val="0"/>
                <w:i/>
                <w:color w:val="1A2334"/>
                <w:sz w:val="24"/>
              </w:rPr>
              <w:t>„Dieser Inhalt wurde mit KI erstellt“ ist ein Signal. Transparenz entsteht erst, wenn Menschen verstehen, was dieses Signal für die konkrete Situation bedeutet und was sie anschließend tun können.</w:t>
            </w:r>
          </w:p>
        </w:tc>
      </w:tr>
    </w:tbl>
    <w:p>
      <w:pPr>
        <w:spacing w:after="140" w:line="283" w:lineRule="auto"/>
      </w:pPr>
      <w:r>
        <w:rPr>
          <w:rFonts w:ascii="Aptos" w:hAnsi="Aptos"/>
          <w:b w:val="0"/>
          <w:i w:val="0"/>
          <w:color w:val="1A2334"/>
          <w:sz w:val="21"/>
        </w:rPr>
        <w:t>Ein kleiner KI-Hinweis am Seitenende wirkt beruhigend. Er scheint eine komplexe Pflicht in einen sichtbaren Satz zu verwandeln. Doch der Satz beantwortet nur eine Frage: War KI beteiligt? Er sagt nicht, welcher Teil automatisch erzeugt oder verändert wurde, welche Daten und Quellen eingeflossen sind, ob ein Mensch geprüft hat, wie zuverlässig die Ausgabe ist oder wo eine Korrektur verlangt werden kann.</w:t>
      </w:r>
    </w:p>
    <w:p>
      <w:pPr>
        <w:spacing w:after="140" w:line="283" w:lineRule="auto"/>
      </w:pPr>
      <w:r>
        <w:rPr>
          <w:rFonts w:ascii="Aptos" w:hAnsi="Aptos"/>
          <w:b w:val="0"/>
          <w:i w:val="0"/>
          <w:color w:val="1A2334"/>
          <w:sz w:val="21"/>
        </w:rPr>
        <w:t>Transparenz ist deshalb keine Textbausteinfrage. Sie ist eine technische und organisatorische Schnittstelle zwischen System, Betreiber und betroffener Person. Diese Schnittstelle muss zum richtigen Zeitpunkt auffallen, verständlichen Kontext liefern, Herkunft und Bearbeitung nachvollziehbar machen, einen Handlungspfad öffnen und intern beweisbar funktionieren.</w:t>
      </w:r>
    </w:p>
    <w:p>
      <w:pPr>
        <w:keepNext/>
        <w:spacing w:before="320" w:after="120"/>
      </w:pPr>
      <w:r>
        <w:rPr>
          <w:rFonts w:ascii="Georgia" w:hAnsi="Georgia"/>
          <w:b/>
          <w:i w:val="0"/>
          <w:color w:val="1A2334"/>
          <w:sz w:val="32"/>
        </w:rPr>
        <w:t>Transparenz soll eine Entscheidung ermöglichen</w:t>
      </w:r>
    </w:p>
    <w:p>
      <w:pPr>
        <w:spacing w:after="140" w:line="283" w:lineRule="auto"/>
      </w:pPr>
      <w:r>
        <w:rPr>
          <w:rFonts w:ascii="Aptos" w:hAnsi="Aptos"/>
          <w:b w:val="0"/>
          <w:i w:val="0"/>
          <w:color w:val="1A2334"/>
          <w:sz w:val="21"/>
        </w:rPr>
        <w:t>Ein wirksamer Hinweis verändert das Verhalten einer Person. Wer mit einem Chatbot spricht, kann seine Angaben anders wählen, wenn die KI-Natur der Interaktion rechtzeitig erkennbar ist. Wer ein synthetisches Bild sieht, kann den Inhalt anders einordnen. Wer eine KI-gestützte Empfehlung erhält, muss wissen, welche Bedeutung sie im Prozess hat und ob ein Mensch sie überstimmen kann.</w:t>
      </w:r>
    </w:p>
    <w:p>
      <w:pPr>
        <w:spacing w:after="140" w:line="283" w:lineRule="auto"/>
      </w:pPr>
      <w:r>
        <w:rPr>
          <w:rFonts w:ascii="Aptos" w:hAnsi="Aptos"/>
          <w:b w:val="0"/>
          <w:i w:val="0"/>
          <w:color w:val="1A2334"/>
          <w:sz w:val="21"/>
        </w:rPr>
        <w:t>Die Qualitätsfrage lautet daher nicht: „Ist irgendwo ein Hinweis vorhanden?“ Sie lautet: „Welche Entscheidung soll die adressierte Person nach dem Hinweis informierter treffen können?“ Ohne diese Zielentscheidung bleiben selbst formal korrekte Texte praktisch leer.</w:t>
      </w:r>
    </w:p>
    <w:p>
      <w:pPr>
        <w:spacing w:after="140" w:line="283" w:lineRule="auto"/>
      </w:pPr>
      <w:r>
        <w:rPr>
          <w:rFonts w:ascii="Aptos" w:hAnsi="Aptos"/>
          <w:b w:val="0"/>
          <w:i w:val="0"/>
          <w:color w:val="1A2334"/>
          <w:sz w:val="21"/>
        </w:rPr>
        <w:t>Transparenz hat mindestens zwei Adressaten. Externe Personen benötigen verständliche Informationen und einen realen Handlungspfad. Interne Betreiber benötigen Systemgrenzen, Leistungsmerkmale, Logs, Änderungsinformationen und Anweisungen, damit sie Ausgaben interpretieren und Systeme angemessen nutzen können. Ein öffentliches Label ersetzt keine Betriebsdokumentation; eine umfangreiche technische Akte ersetzt keinen sichtbaren Hinweis.</w:t>
      </w:r>
    </w:p>
    <w:p>
      <w:pPr>
        <w:keepNext/>
        <w:spacing w:before="320" w:after="120"/>
      </w:pPr>
      <w:r>
        <w:rPr>
          <w:rFonts w:ascii="Georgia" w:hAnsi="Georgia"/>
          <w:b/>
          <w:i w:val="0"/>
          <w:color w:val="1A2334"/>
          <w:sz w:val="32"/>
        </w:rPr>
        <w:t>Artikel 50 ist kein allgemeiner Etikettensatz</w:t>
      </w:r>
    </w:p>
    <w:p>
      <w:pPr>
        <w:spacing w:after="140" w:line="283" w:lineRule="auto"/>
      </w:pPr>
      <w:r>
        <w:rPr>
          <w:rFonts w:ascii="Aptos" w:hAnsi="Aptos"/>
          <w:b w:val="0"/>
          <w:i w:val="0"/>
          <w:color w:val="1A2334"/>
          <w:sz w:val="21"/>
        </w:rPr>
        <w:t>Artikel 50 des EU AI Act unterscheidet mehrere Situationen. Bei Systemen, die direkt mit natürlichen Personen interagieren, muss grundsätzlich kenntlich gemacht werden, dass die Person mit einem KI-System interagiert, sofern dies nicht aus Sicht einer angemessen informierten, aufmerksamen und verständigen Person offensichtlich ist. Bei Systemen, die synthetische Audio-, Bild-, Video- oder Textinhalte erzeugen, bestehen für Anbieter Anforderungen an maschinenlesbare Kennzeichnung und Erkennbarkeit.</w:t>
      </w:r>
    </w:p>
    <w:p>
      <w:pPr>
        <w:spacing w:after="140" w:line="283" w:lineRule="auto"/>
      </w:pPr>
      <w:r>
        <w:rPr>
          <w:rFonts w:ascii="Aptos" w:hAnsi="Aptos"/>
          <w:b w:val="0"/>
          <w:i w:val="0"/>
          <w:color w:val="1A2334"/>
          <w:sz w:val="21"/>
        </w:rPr>
        <w:t>Daneben treffen Betreiber bestimmte Offenlegungspflichten, wenn sie Deepfakes einsetzen oder KI-generierten beziehungsweise manipulierten Text veröffentlichen, um die Öffentlichkeit über Angelegenheiten von öffentlichem Interesse zu informieren. Der Normtext enthält Ausnahmen und besondere Regeln, etwa für gesetzlich autorisierte Zwecke sowie künstlerische, satirische, fiktionale oder ähnliche Werke. Deshalb ist „Wir kennzeichnen alles gleich“ ebenso unpräzise wie „Ein Disclaimer genügt“.</w:t>
      </w:r>
    </w:p>
    <w:p>
      <w:pPr>
        <w:spacing w:after="140" w:line="283" w:lineRule="auto"/>
      </w:pPr>
      <w:r>
        <w:rPr>
          <w:rFonts w:ascii="Aptos" w:hAnsi="Aptos"/>
          <w:b w:val="0"/>
          <w:i w:val="0"/>
          <w:color w:val="1A2334"/>
          <w:sz w:val="21"/>
        </w:rPr>
        <w:t>Die Pflichten aus Artikel 50 gelten ab 2. August 2026. Der finale europäische Verhaltenskodex zur Transparenz KI-generierter Inhalte wurde im Juni 2026 veröffentlicht. Er ist freiwillig und soll die Umsetzung bestimmter Absätze unterstützen. Er ersetzt weder den Normtext noch die fallbezogene Prüfung von Rolle, Inhalt und Ausnahme.</w:t>
      </w:r>
    </w:p>
    <w:p>
      <w:pPr>
        <w:keepNext/>
        <w:spacing w:before="320" w:after="120"/>
      </w:pPr>
      <w:r>
        <w:rPr>
          <w:rFonts w:ascii="Georgia" w:hAnsi="Georgia"/>
          <w:b/>
          <w:i w:val="0"/>
          <w:color w:val="1A2334"/>
          <w:sz w:val="32"/>
        </w:rPr>
        <w:t>Anbieter und Betreiber besitzen unterschiedliche Ausschnitte</w:t>
      </w:r>
    </w:p>
    <w:p>
      <w:pPr>
        <w:spacing w:after="140" w:line="283" w:lineRule="auto"/>
      </w:pPr>
      <w:r>
        <w:rPr>
          <w:rFonts w:ascii="Aptos" w:hAnsi="Aptos"/>
          <w:b w:val="0"/>
          <w:i w:val="0"/>
          <w:color w:val="1A2334"/>
          <w:sz w:val="21"/>
        </w:rPr>
        <w:t>Der Anbieter kann eine technische Markierung in die Erzeugungspipeline integrieren, kennt aber oft nicht den späteren Veröffentlichungskontext. Der Betreiber kennt Zielgruppe, Kanal und Wirkung, besitzt jedoch möglicherweise keinen vollständigen Einblick in Modell oder Herkunftssignal. Wirksame Transparenz entsteht nur, wenn diese Ausschnitte verbunden werden.</w:t>
      </w:r>
    </w:p>
    <w:p>
      <w:pPr>
        <w:spacing w:after="140" w:line="283" w:lineRule="auto"/>
      </w:pPr>
      <w:r>
        <w:rPr>
          <w:rFonts w:ascii="Aptos" w:hAnsi="Aptos"/>
          <w:b w:val="0"/>
          <w:i w:val="0"/>
          <w:color w:val="1A2334"/>
          <w:sz w:val="21"/>
        </w:rPr>
        <w:t>Eine belastbare Übergabe enthält deshalb mehr als eine Produktbeschreibung: Welche Inhalte können markiert werden? Wo liegt die Markierung? Wie wird sie geprüft? Welche Bearbeitung kann sie entfernen? Welche Version ist aktiv? Welche sichtbare Kennzeichnung bleibt Aufgabe des Betreibers? Welche Ausnahme wurde wie begründet? Wenn diese Fragen zwischen Beschaffung, Entwicklung, Kommunikation und Fachbereich verschwinden, entsteht Transparenzschuld.</w:t>
      </w:r>
    </w:p>
    <w:p>
      <w:pPr>
        <w:keepNext/>
        <w:spacing w:before="320" w:after="120"/>
      </w:pPr>
      <w:r>
        <w:rPr>
          <w:rFonts w:ascii="Georgia" w:hAnsi="Georgia"/>
          <w:b/>
          <w:i w:val="0"/>
          <w:color w:val="1A2334"/>
          <w:sz w:val="32"/>
        </w:rPr>
        <w:t>Fünf Schichten einer wirksamen Transparenzschnittstelle</w:t>
      </w:r>
    </w:p>
    <w:p>
      <w:pPr>
        <w:spacing w:after="140" w:line="283" w:lineRule="auto"/>
      </w:pPr>
      <w:r>
        <w:rPr>
          <w:rFonts w:ascii="Aptos" w:hAnsi="Aptos"/>
          <w:b w:val="0"/>
          <w:i w:val="0"/>
          <w:color w:val="1A2334"/>
          <w:sz w:val="21"/>
        </w:rPr>
        <w:t>Ein praktisches Modell verbindet fünf Schichten: **NOTICE → CONTEXT → PROVENANCE → ACTION → EVIDENCE**.</w:t>
      </w:r>
    </w:p>
    <w:p>
      <w:pPr>
        <w:keepNext/>
        <w:spacing w:before="220" w:after="120"/>
      </w:pPr>
      <w:r>
        <w:rPr>
          <w:rFonts w:ascii="Georgia" w:hAnsi="Georgia"/>
          <w:b/>
          <w:i w:val="0"/>
          <w:color w:val="1A2334"/>
          <w:sz w:val="25"/>
        </w:rPr>
        <w:t>1. Notice: der sofort erkennbare Hinweis</w:t>
      </w:r>
    </w:p>
    <w:p>
      <w:pPr>
        <w:spacing w:after="140" w:line="283" w:lineRule="auto"/>
      </w:pPr>
      <w:r>
        <w:rPr>
          <w:rFonts w:ascii="Aptos" w:hAnsi="Aptos"/>
          <w:b w:val="0"/>
          <w:i w:val="0"/>
          <w:color w:val="1A2334"/>
          <w:sz w:val="21"/>
        </w:rPr>
        <w:t>Der erste Hinweis muss vor oder spätestens zu dem Zeitpunkt erscheinen, an dem er die Entscheidung noch beeinflussen kann. Ein Chatbot-Hinweis nach der Eingabe sensibler Daten kommt zu spät. Eine Kennzeichnung, die erst nach mehreren Klicks sichtbar wird, schützt nicht vor dem ersten falschen Eindruck.</w:t>
      </w:r>
    </w:p>
    <w:p>
      <w:pPr>
        <w:spacing w:after="140" w:line="283" w:lineRule="auto"/>
      </w:pPr>
      <w:r>
        <w:rPr>
          <w:rFonts w:ascii="Aptos" w:hAnsi="Aptos"/>
          <w:b w:val="0"/>
          <w:i w:val="0"/>
          <w:color w:val="1A2334"/>
          <w:sz w:val="21"/>
        </w:rPr>
        <w:t>Prominenz ist kontextabhängig: Position, Kontrast, Größe, Dauer, Sprache, Audioalternative und Darstellung auf mobilen Geräten zählen. Ein Hinweis darf nicht mit dekorativen Icons verwechselt werden. Barrierefreiheit ist keine spätere Übersetzung, sondern Teil der Hauptschnittstelle.</w:t>
      </w:r>
    </w:p>
    <w:p>
      <w:pPr>
        <w:keepNext/>
        <w:spacing w:before="220" w:after="120"/>
      </w:pPr>
      <w:r>
        <w:rPr>
          <w:rFonts w:ascii="Georgia" w:hAnsi="Georgia"/>
          <w:b/>
          <w:i w:val="0"/>
          <w:color w:val="1A2334"/>
          <w:sz w:val="25"/>
        </w:rPr>
        <w:t>2. Context: Bedeutung und Grenzen</w:t>
      </w:r>
    </w:p>
    <w:p>
      <w:pPr>
        <w:spacing w:after="140" w:line="283" w:lineRule="auto"/>
      </w:pPr>
      <w:r>
        <w:rPr>
          <w:rFonts w:ascii="Aptos" w:hAnsi="Aptos"/>
          <w:b w:val="0"/>
          <w:i w:val="0"/>
          <w:color w:val="1A2334"/>
          <w:sz w:val="21"/>
        </w:rPr>
        <w:t>Die zweite Schicht erklärt, was KI konkret tut. Erzeugt sie einen Entwurf, priorisiert sie Fälle, übersetzt sie Inhalte oder entscheidet sie über eine Aktion? Welche Angaben stammen von Menschen, welche aus automatisierten Quellen? Welche bekannten Grenzen sind für diese Situation relevant?</w:t>
      </w:r>
    </w:p>
    <w:p>
      <w:pPr>
        <w:spacing w:after="140" w:line="283" w:lineRule="auto"/>
      </w:pPr>
      <w:r>
        <w:rPr>
          <w:rFonts w:ascii="Aptos" w:hAnsi="Aptos"/>
          <w:b w:val="0"/>
          <w:i w:val="0"/>
          <w:color w:val="1A2334"/>
          <w:sz w:val="21"/>
        </w:rPr>
        <w:t>Kontext sollte risikoproportional sein. Für eine harmlose Formulierungshilfe reicht weniger als für medizinische, finanzielle, beschäftigungsbezogene oder behördliche Prozesse. Mehr Text ist jedoch nicht automatisch besser. Progressive Offenlegung zeigt zuerst das Wesentliche und bietet bei Bedarf vertiefende Details.</w:t>
      </w:r>
    </w:p>
    <w:p>
      <w:pPr>
        <w:keepNext/>
        <w:spacing w:before="220" w:after="120"/>
      </w:pPr>
      <w:r>
        <w:rPr>
          <w:rFonts w:ascii="Georgia" w:hAnsi="Georgia"/>
          <w:b/>
          <w:i w:val="0"/>
          <w:color w:val="1A2334"/>
          <w:sz w:val="25"/>
        </w:rPr>
        <w:t>3. Provenance: Herkunft und Bearbeitungsverlauf</w:t>
      </w:r>
    </w:p>
    <w:p>
      <w:pPr>
        <w:spacing w:after="140" w:line="283" w:lineRule="auto"/>
      </w:pPr>
      <w:r>
        <w:rPr>
          <w:rFonts w:ascii="Aptos" w:hAnsi="Aptos"/>
          <w:b w:val="0"/>
          <w:i w:val="0"/>
          <w:color w:val="1A2334"/>
          <w:sz w:val="21"/>
        </w:rPr>
        <w:t>Maschinenlesbare Marker und Content Credentials können Herkunftsinformationen mit dem Inhalt verbinden. Ein technisches Manifest kann etwa Erzeuger, Signatur, Zeit, verwendete Werkzeuge und Bearbeitungsschritte dokumentieren. Standards wie C2PA schaffen dafür interoperable Strukturen.</w:t>
      </w:r>
    </w:p>
    <w:p>
      <w:pPr>
        <w:spacing w:after="140" w:line="283" w:lineRule="auto"/>
      </w:pPr>
      <w:r>
        <w:rPr>
          <w:rFonts w:ascii="Aptos" w:hAnsi="Aptos"/>
          <w:b w:val="0"/>
          <w:i w:val="0"/>
          <w:color w:val="1A2334"/>
          <w:sz w:val="21"/>
        </w:rPr>
        <w:t>Provenienz ist wertvoll, aber begrenzt. Metadaten können beim Export, Screenshot, Kopieren oder Plattformwechsel verloren gehen. Das Fehlen eines Signals beweist deshalb nicht, dass ein Inhalt menschlich erstellt wurde. Umgekehrt beweist eine gültige Herkunftskette nicht, dass eine Aussage wahr, fair oder vollständig ist. Sie beantwortet „Woher kommt dieser Inhalt und was geschah mit ihm?“, nicht „Ist er richtig?“</w:t>
      </w:r>
    </w:p>
    <w:p>
      <w:pPr>
        <w:keepNext/>
        <w:spacing w:before="220" w:after="120"/>
      </w:pPr>
      <w:r>
        <w:rPr>
          <w:rFonts w:ascii="Georgia" w:hAnsi="Georgia"/>
          <w:b/>
          <w:i w:val="0"/>
          <w:color w:val="1A2334"/>
          <w:sz w:val="25"/>
        </w:rPr>
        <w:t>4. Action: menschlicher Handlungspfad</w:t>
      </w:r>
    </w:p>
    <w:p>
      <w:pPr>
        <w:spacing w:after="140" w:line="283" w:lineRule="auto"/>
      </w:pPr>
      <w:r>
        <w:rPr>
          <w:rFonts w:ascii="Aptos" w:hAnsi="Aptos"/>
          <w:b w:val="0"/>
          <w:i w:val="0"/>
          <w:color w:val="1A2334"/>
          <w:sz w:val="21"/>
        </w:rPr>
        <w:t>Transparenz ohne Handlungsmöglichkeit kann zur bloßen Warnung vor einer alternativlosen Entscheidung werden. Nutzer benötigen je nach Einsatz einen klaren Weg: menschliche Ansprechperson, Korrektur, erneute Prüfung, Widerspruch, Meldung manipulierter Inhalte oder Abbruch der Interaktion.</w:t>
      </w:r>
    </w:p>
    <w:p>
      <w:pPr>
        <w:spacing w:after="140" w:line="283" w:lineRule="auto"/>
      </w:pPr>
      <w:r>
        <w:rPr>
          <w:rFonts w:ascii="Aptos" w:hAnsi="Aptos"/>
          <w:b w:val="0"/>
          <w:i w:val="0"/>
          <w:color w:val="1A2334"/>
          <w:sz w:val="21"/>
        </w:rPr>
        <w:t>Dieser Pfad muss erreichbar sein. Ein Kontaktformular ohne Zuständigkeit, Frist und Rückkanal ist kein wirksamer Human-in-the-Loop. Die Organisation definiert, wer Fälle übernimmt, welche Evidenz gesichert wird, welche Entscheidung ausgesetzt werden kann und wie das Ergebnis zurückgemeldet wird.</w:t>
      </w:r>
    </w:p>
    <w:p>
      <w:pPr>
        <w:keepNext/>
        <w:spacing w:before="220" w:after="120"/>
      </w:pPr>
      <w:r>
        <w:rPr>
          <w:rFonts w:ascii="Georgia" w:hAnsi="Georgia"/>
          <w:b/>
          <w:i w:val="0"/>
          <w:color w:val="1A2334"/>
          <w:sz w:val="25"/>
        </w:rPr>
        <w:t>5. Evidence: Nachweis und Audit</w:t>
      </w:r>
    </w:p>
    <w:p>
      <w:pPr>
        <w:spacing w:after="140" w:line="283" w:lineRule="auto"/>
      </w:pPr>
      <w:r>
        <w:rPr>
          <w:rFonts w:ascii="Aptos" w:hAnsi="Aptos"/>
          <w:b w:val="0"/>
          <w:i w:val="0"/>
          <w:color w:val="1A2334"/>
          <w:sz w:val="21"/>
        </w:rPr>
        <w:t>Die letzte Schicht ist intern. Sie zeigt, dass Hinweise nicht nur entworfen, sondern korrekt ausgeliefert wurden. Notwendig sind beispielsweise Version, Sprache, Kanal, Zielgruppe, Anzeigezeitpunkt, Ausnahmelogik, Testfall, Verantwortliche und Änderungsverlauf.</w:t>
      </w:r>
    </w:p>
    <w:p>
      <w:pPr>
        <w:spacing w:after="140" w:line="283" w:lineRule="auto"/>
      </w:pPr>
      <w:r>
        <w:rPr>
          <w:rFonts w:ascii="Aptos" w:hAnsi="Aptos"/>
          <w:b w:val="0"/>
          <w:i w:val="0"/>
          <w:color w:val="1A2334"/>
          <w:sz w:val="21"/>
        </w:rPr>
        <w:t>Bei dynamischen Systemen genügt ein Screenshot aus dem Designprozess nicht. Tests müssen prüfen, ob Hinweise in realen Pfaden erscheinen, ob maschinenlesbare Marker nach Transformation erhalten bleiben und ob der menschliche Kontakt funktioniert. Stichproben und Monitoring erkennen Transparenzabbrüche im Betrieb.</w:t>
      </w:r>
    </w:p>
    <w:p>
      <w:pPr>
        <w:keepNext/>
        <w:spacing w:before="320" w:after="120"/>
      </w:pPr>
      <w:r>
        <w:rPr>
          <w:rFonts w:ascii="Georgia" w:hAnsi="Georgia"/>
          <w:b/>
          <w:i w:val="0"/>
          <w:color w:val="1A2334"/>
          <w:sz w:val="32"/>
        </w:rPr>
        <w:t>Herkunft ist kein Wahrheitsstempel</w:t>
      </w:r>
    </w:p>
    <w:p>
      <w:pPr>
        <w:spacing w:after="140" w:line="283" w:lineRule="auto"/>
      </w:pPr>
      <w:r>
        <w:rPr>
          <w:rFonts w:ascii="Aptos" w:hAnsi="Aptos"/>
          <w:b w:val="0"/>
          <w:i w:val="0"/>
          <w:color w:val="1A2334"/>
          <w:sz w:val="21"/>
        </w:rPr>
        <w:t>Die Verwechslung von Provenienz und Wahrheit ist ein besonders gefährlicher Kategorienfehler. Ein authentisch signiertes Foto kann eine irreführende Auswahl zeigen. Ein korrekt dokumentierter synthetischer Text kann falsche Fakten enthalten. Ein unmarkierter Inhalt kann dennoch zutreffend sein. Herkunft unterstützt Bewertung; sie ersetzt sie nicht.</w:t>
      </w:r>
    </w:p>
    <w:p>
      <w:pPr>
        <w:spacing w:after="140" w:line="283" w:lineRule="auto"/>
      </w:pPr>
      <w:r>
        <w:rPr>
          <w:rFonts w:ascii="Aptos" w:hAnsi="Aptos"/>
          <w:b w:val="0"/>
          <w:i w:val="0"/>
          <w:color w:val="1A2334"/>
          <w:sz w:val="21"/>
        </w:rPr>
        <w:t>Deshalb braucht eine belastbare Veröffentlichungsstrecke getrennte Kontrollen für Identität, Integrität, Inhalt und Kontext. Die Signatur prüft, ob die Kette unverändert ist. Quellenprüfung bewertet Behauptungen. Redaktionskontrolle prüft Auswahl und Fairness. Risiko- und Freigaberegeln entscheiden über die Verwendung.</w:t>
      </w:r>
    </w:p>
    <w:p>
      <w:pPr>
        <w:spacing w:after="140" w:line="283" w:lineRule="auto"/>
      </w:pPr>
      <w:r>
        <w:rPr>
          <w:rFonts w:ascii="Aptos" w:hAnsi="Aptos"/>
          <w:b w:val="0"/>
          <w:i w:val="0"/>
          <w:color w:val="1A2334"/>
          <w:sz w:val="21"/>
        </w:rPr>
        <w:t>Auch Detektoren sind keine universelle Lösung. Wahrscheinlichkeitsbasierte Erkennung kann Fehler produzieren und durch Bearbeitung beeinträchtigt werden. Sie sollte als Signal mit dokumentierter Unsicherheit behandelt werden, nicht als alleiniger Beweis gegen eine Person oder einen Inhalt.</w:t>
      </w:r>
    </w:p>
    <w:p>
      <w:pPr>
        <w:keepNext/>
        <w:spacing w:before="320" w:after="120"/>
      </w:pPr>
      <w:r>
        <w:rPr>
          <w:rFonts w:ascii="Georgia" w:hAnsi="Georgia"/>
          <w:b/>
          <w:i w:val="0"/>
          <w:color w:val="1A2334"/>
          <w:sz w:val="32"/>
        </w:rPr>
        <w:t>Transparenz muss über Kanäle hinweg überleben</w:t>
      </w:r>
    </w:p>
    <w:p>
      <w:pPr>
        <w:spacing w:after="140" w:line="283" w:lineRule="auto"/>
      </w:pPr>
      <w:r>
        <w:rPr>
          <w:rFonts w:ascii="Aptos" w:hAnsi="Aptos"/>
          <w:b w:val="0"/>
          <w:i w:val="0"/>
          <w:color w:val="1A2334"/>
          <w:sz w:val="21"/>
        </w:rPr>
        <w:t>Ein Inhalt wandert: aus dem Modell in einen Editor, durch ein DAM-System, in ein soziales Netzwerk, als Screenshot in einen Messenger und schließlich in eine Präsentation. An jeder Übergabe können sichtbare Labels, Metadaten oder Kontext verloren gehen.</w:t>
      </w:r>
    </w:p>
    <w:p>
      <w:pPr>
        <w:spacing w:after="140" w:line="283" w:lineRule="auto"/>
      </w:pPr>
      <w:r>
        <w:rPr>
          <w:rFonts w:ascii="Aptos" w:hAnsi="Aptos"/>
          <w:b w:val="0"/>
          <w:i w:val="0"/>
          <w:color w:val="1A2334"/>
          <w:sz w:val="21"/>
        </w:rPr>
        <w:t>Darum wird die Kennzeichnung als Pipeline getestet. Für jeden Kanal wird festgelegt, welches Signal transportiert, neu erzeugt oder sichtbar ergänzt wird. Wenn technische Metadaten nicht erhalten bleiben, kann ein sichtbarer Hinweis weiterhin erforderlich sein. Wenn ein sichtbares Label abgeschnitten wird, muss die Plattformdarstellung angepasst werden.</w:t>
      </w:r>
    </w:p>
    <w:p>
      <w:pPr>
        <w:spacing w:after="140" w:line="283" w:lineRule="auto"/>
      </w:pPr>
      <w:r>
        <w:rPr>
          <w:rFonts w:ascii="Aptos" w:hAnsi="Aptos"/>
          <w:b w:val="0"/>
          <w:i w:val="0"/>
          <w:color w:val="1A2334"/>
          <w:sz w:val="21"/>
        </w:rPr>
        <w:t>Mehrsprachigkeit gehört in denselben Test. Eine wörtliche Übersetzung kann rechtlich klingen, aber praktisch unverständlich bleiben. Begriffe, Lesestufe, kulturelle Erwartung und lokale Kontaktwege werden mit realen Nutzern geprüft.</w:t>
      </w:r>
    </w:p>
    <w:p>
      <w:pPr>
        <w:keepNext/>
        <w:spacing w:before="320" w:after="120"/>
      </w:pPr>
      <w:r>
        <w:rPr>
          <w:rFonts w:ascii="Georgia" w:hAnsi="Georgia"/>
          <w:b/>
          <w:i w:val="0"/>
          <w:color w:val="1A2334"/>
          <w:sz w:val="32"/>
        </w:rPr>
        <w:t>Interne Transparenz schützt vor falscher Bedienung</w:t>
      </w:r>
    </w:p>
    <w:p>
      <w:pPr>
        <w:spacing w:after="140" w:line="283" w:lineRule="auto"/>
      </w:pPr>
      <w:r>
        <w:rPr>
          <w:rFonts w:ascii="Aptos" w:hAnsi="Aptos"/>
          <w:b w:val="0"/>
          <w:i w:val="0"/>
          <w:color w:val="1A2334"/>
          <w:sz w:val="21"/>
        </w:rPr>
        <w:t>Artikel 13 zeigt eine andere Transparenzrichtung: Hochrisiko-Systeme müssen so gestaltet und dokumentiert sein, dass Betreiber Ausgaben interpretieren und Systeme angemessen nutzen können. Das betrifft Eigenschaften, Leistungsgrenzen, vorhersehbare Risiken, menschliche Aufsicht, Wartung und Logs.</w:t>
      </w:r>
    </w:p>
    <w:p>
      <w:pPr>
        <w:spacing w:after="140" w:line="283" w:lineRule="auto"/>
      </w:pPr>
      <w:r>
        <w:rPr>
          <w:rFonts w:ascii="Aptos" w:hAnsi="Aptos"/>
          <w:b w:val="0"/>
          <w:i w:val="0"/>
          <w:color w:val="1A2334"/>
          <w:sz w:val="21"/>
        </w:rPr>
        <w:t>Diese operative Transparenz verhindert, dass Menschen ein präzise aussehendes Ergebnis mit Gewissheit verwechseln. Sie verbindet Systemkarte, Evaluationsbericht, Datenherkunft, bekannte Fehlermodi, aktuelle Version, Eskalationsregel und Berechtigung. Nur so wird aus Information tatsächlich kontrollierbarer Betrieb.</w:t>
      </w:r>
    </w:p>
    <w:p>
      <w:pPr>
        <w:keepNext/>
        <w:spacing w:before="320" w:after="120"/>
      </w:pPr>
      <w:r>
        <w:rPr>
          <w:rFonts w:ascii="Georgia" w:hAnsi="Georgia"/>
          <w:b/>
          <w:i w:val="0"/>
          <w:color w:val="1A2334"/>
          <w:sz w:val="32"/>
        </w:rPr>
        <w:t>Transparenzschuld wächst still</w:t>
      </w:r>
    </w:p>
    <w:p>
      <w:pPr>
        <w:spacing w:after="140" w:line="283" w:lineRule="auto"/>
      </w:pPr>
      <w:r>
        <w:rPr>
          <w:rFonts w:ascii="Aptos" w:hAnsi="Aptos"/>
          <w:b w:val="0"/>
          <w:i w:val="0"/>
          <w:color w:val="1A2334"/>
          <w:sz w:val="21"/>
        </w:rPr>
        <w:t>Ein neues Modell wird eingebaut, doch der Hinweis nennt weiterhin die alte Funktion. Ein Übersetzungsmodul kommt hinzu, aber das Datenflussdiagramm bleibt unverändert. Ein Social-Media-Kanal entfernt Metadaten, ohne dass ein sichtbares Label ergänzt wird. Jede solche Abweichung erzeugt Transparenzschuld.</w:t>
      </w:r>
    </w:p>
    <w:p>
      <w:pPr>
        <w:spacing w:after="140" w:line="283" w:lineRule="auto"/>
      </w:pPr>
      <w:r>
        <w:rPr>
          <w:rFonts w:ascii="Aptos" w:hAnsi="Aptos"/>
          <w:b w:val="0"/>
          <w:i w:val="0"/>
          <w:color w:val="1A2334"/>
          <w:sz w:val="21"/>
        </w:rPr>
        <w:t>Diese Schuld ist organisatorisch messbar: ungeprüfte Kanäle, veraltete Texte, fehlende Sprachen, Marker-Verlustrate, unerreichbare Kontaktpfade, offene Beschwerden und ungeklärte Ausnahmen. Sie gehört in Release-Gates und regelmäßige Reviews. Ein Funktionsrelease ist nicht vollständig, wenn die Transparenzschnittstelle nicht mitgeändert wurde.</w:t>
      </w:r>
    </w:p>
    <w:p>
      <w:pPr>
        <w:keepNext/>
        <w:spacing w:before="320" w:after="120"/>
      </w:pPr>
      <w:r>
        <w:rPr>
          <w:rFonts w:ascii="Georgia" w:hAnsi="Georgia"/>
          <w:b/>
          <w:i w:val="0"/>
          <w:color w:val="1A2334"/>
          <w:sz w:val="32"/>
        </w:rPr>
        <w:t>Von der Pflicht zur verlässlichen Beziehung</w:t>
      </w:r>
    </w:p>
    <w:p>
      <w:pPr>
        <w:spacing w:after="140" w:line="283" w:lineRule="auto"/>
      </w:pPr>
      <w:r>
        <w:rPr>
          <w:rFonts w:ascii="Aptos" w:hAnsi="Aptos"/>
          <w:b w:val="0"/>
          <w:i w:val="0"/>
          <w:color w:val="1A2334"/>
          <w:sz w:val="21"/>
        </w:rPr>
        <w:t>Gute Transparenz ist mehr als Compliance. Sie verbessert die Zusammenarbeit zwischen Menschen und Systemen. Nutzer teilen Daten bewusster, interpretieren Ergebnisse angemessener und wissen, wann sie eine menschliche Prüfung benötigen. Betreiber erkennen Fehler früher. Verantwortliche können zeigen, welche Information wann verfügbar war.</w:t>
      </w:r>
    </w:p>
    <w:p>
      <w:pPr>
        <w:spacing w:after="140" w:line="283" w:lineRule="auto"/>
      </w:pPr>
      <w:r>
        <w:rPr>
          <w:rFonts w:ascii="Aptos" w:hAnsi="Aptos"/>
          <w:b w:val="0"/>
          <w:i w:val="0"/>
          <w:color w:val="1A2334"/>
          <w:sz w:val="21"/>
        </w:rPr>
        <w:t>Der Maßstab ist nicht maximale Offenlegung, sondern angemessene Handlungsfähigkeit. Geschäftsgeheimnisse, Sicherheit und Datenschutz setzen Grenzen. Doch „Wir können nicht alles erklären“ rechtfertigt nicht „Wir erklären nichts Wesentliches“. Die Kunst liegt in einer geschichteten Schnittstelle, die das Entscheidungsrelevante sichtbar macht und vertiefende Evidenz gezielt zugänglich hält.</w:t>
      </w:r>
    </w:p>
    <w:p>
      <w:pPr>
        <w:keepNext/>
        <w:spacing w:before="320" w:after="120"/>
      </w:pPr>
      <w:r>
        <w:rPr>
          <w:rFonts w:ascii="Georgia" w:hAnsi="Georgia"/>
          <w:b/>
          <w:i w:val="0"/>
          <w:color w:val="1A2334"/>
          <w:sz w:val="32"/>
        </w:rPr>
        <w:t>Übungsblatt: Entwirf eine Transparenzschnittstelle</w:t>
      </w:r>
    </w:p>
    <w:p>
      <w:pPr>
        <w:spacing w:after="140" w:line="283" w:lineRule="auto"/>
      </w:pPr>
      <w:r>
        <w:rPr>
          <w:rFonts w:ascii="Aptos" w:hAnsi="Aptos"/>
          <w:b w:val="0"/>
          <w:i w:val="0"/>
          <w:color w:val="1A2334"/>
          <w:sz w:val="21"/>
        </w:rPr>
        <w:t>Wähle einen konkreten KI-Use-Case und einen realen Nutzungskanal.</w:t>
      </w:r>
    </w:p>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1</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Definiere Zielgruppe, Entscheidung und möglichen Schaden.</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2</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Bestimme, welcher Hinweis vor welcher Handlung erscheinen muss.</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3</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Beschreibe Zweck, KI-Anteil, Grenzen und menschliche Rolle.</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4</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Lege sichtbare und maschinenlesbare Herkunftssignale fest.</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5</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Zeichne den Weg zu Korrektur, menschlicher Prüfung oder Beschwerde.</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6</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Dokumentiere Anbieter-, Betreiber- und Kanalverantwortung.</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7</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Teste Barrierefreiheit, Mehrsprachigkeit und Verlust bei Transformation.</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8</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Definiere Logs, Stichproben, Release-Gate und Review-Trigger.</w:t>
            </w:r>
          </w:p>
        </w:tc>
      </w:tr>
    </w:tbl>
    <w:p>
      <w:pPr>
        <w:keepNext/>
        <w:spacing w:before="220" w:after="120"/>
      </w:pPr>
      <w:r>
        <w:rPr>
          <w:rFonts w:ascii="Georgia" w:hAnsi="Georgia"/>
          <w:b/>
          <w:i w:val="0"/>
          <w:color w:val="1A2334"/>
          <w:sz w:val="25"/>
        </w:rPr>
        <w:t>Reflexion</w:t>
      </w:r>
    </w:p>
    <w:p>
      <w:pPr>
        <w:spacing w:after="140" w:line="283" w:lineRule="auto"/>
      </w:pPr>
      <w:r>
        <w:rPr>
          <w:rFonts w:ascii="Aptos" w:hAnsi="Aptos"/>
          <w:b w:val="0"/>
          <w:i w:val="0"/>
          <w:color w:val="1A2334"/>
          <w:sz w:val="21"/>
        </w:rPr>
        <w:t>Welche Entscheidung kann Ihre Zielgruppe nach dem heutigen Hinweis wirklich besser treffen? __________________</w:t>
      </w:r>
    </w:p>
    <w:p>
      <w:pPr>
        <w:spacing w:after="140" w:line="283" w:lineRule="auto"/>
      </w:pPr>
      <w:r>
        <w:rPr>
          <w:rFonts w:ascii="Aptos" w:hAnsi="Aptos"/>
          <w:b w:val="0"/>
          <w:i w:val="0"/>
          <w:color w:val="1A2334"/>
          <w:sz w:val="21"/>
        </w:rPr>
        <w:t>An welcher Übergabe verliert Ihr Inhalt aktuell Hinweis, Kontext oder Provenienz? __________________________</w:t>
      </w:r>
    </w:p>
    <w:p>
      <w:pPr>
        <w:keepNext/>
        <w:spacing w:before="320" w:after="120"/>
      </w:pPr>
      <w:r>
        <w:rPr>
          <w:rFonts w:ascii="Georgia" w:hAnsi="Georgia"/>
          <w:b/>
          <w:i w:val="0"/>
          <w:color w:val="1A2334"/>
          <w:sz w:val="32"/>
        </w:rPr>
        <w:t>Quellen und fachliche Einordnung</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[EU AI Act, Artikel 50](https://ai-act-service-desk.ec.europa.eu/en/ai-act/article-50) – Transparenzpflichten für bestimmte interaktive und generative KI-Systeme sowie für bestimmte Betreiber von Deepfakes und Texten von öffentlichem Interesse.</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[EU AI Act, Artikel 13](https://ai-act-service-desk.ec.europa.eu/en/ai-act/article-13) – Transparenzanforderungen an Hochrisiko-KI-Systeme, damit Betreiber Ausgaben interpretieren und Systeme angemessen nutzen können.</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[Europäische Kommission: Finaler Verhaltenskodex zur Transparenz KI-generierter Inhalte](https://digital-strategy.ec.europa.eu/en/policies/code-practice-ai-generated-content) – freiwilliger Kodex zur Unterstützung der Umsetzung von Artikel 50 Absätze 2, 4 und 5; veröffentlicht am 10. Juni 2026.</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[FAQ zum Transparenzkodex](https://digital-strategy.ec.europa.eu/en/faqs/code-practice-transparency-ai-generated-content) – offizielle Erläuterungen zu Anwendungsbereich, Anbieter- und Betreiberpflichten sowie Kennzeichnung.</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[C2PA Technical Specification 2.4](https://spec.c2pa.org/specifications/specifications/2.4/specs/C2PA_Specification.html) – offener technischer Standard für kryptografisch überprüfbare Herkunfts- und Bearbeitungsinformationen digitaler Inhalte.</w:t>
      </w:r>
    </w:p>
    <w:p>
      <w:pPr>
        <w:spacing w:after="140" w:line="283" w:lineRule="auto"/>
      </w:pPr>
      <w:r>
        <w:rPr>
          <w:rFonts w:ascii="Aptos" w:hAnsi="Aptos"/>
          <w:b w:val="0"/>
          <w:i w:val="0"/>
          <w:color w:val="1A2334"/>
          <w:sz w:val="21"/>
        </w:rPr>
        <w:t>*Einordnung:* Dieser Artikel ist eine fachliche Gestaltungshilfe und keine Rechtsberatung. Die Transparenzpflichten aus Artikel 50 gelten ab dem 2. August 2026; Ausnahmen, Rollen, konkrete Inhalte und technische Umsetzbarkeit sind im Einzelfall zu prüfen. Der Verhaltenskodex ist freiwillig und technische Provenienz allein beweist weder Wahrheit noch vollständige Rechtskonformität. Stand der redaktionellen Prüfung: 17. Juli 2026.</w:t>
      </w:r>
    </w:p>
    <w:p>
      <w:r>
        <w:br w:type="page"/>
      </w:r>
    </w:p>
    <w:p>
      <w:pPr>
        <w:keepNext/>
        <w:spacing w:before="320" w:after="120"/>
      </w:pPr>
      <w:r>
        <w:rPr>
          <w:rFonts w:ascii="Georgia" w:hAnsi="Georgia"/>
          <w:b/>
          <w:i w:val="0"/>
          <w:color w:val="1A2334"/>
          <w:sz w:val="32"/>
        </w:rPr>
        <w:t>Arbeitsvorlage: Transparenzschnittstelle</w:t>
      </w:r>
    </w:p>
    <w:tbl>
      <w:tblPr>
        <w:tblW w:type="auto" w:w="0"/>
        <w:jc w:val="center"/>
        <w:tblLayout w:type="fixed"/>
        <w:tblLook w:firstColumn="1" w:firstRow="1" w:lastColumn="0" w:lastRow="0" w:noHBand="0" w:noVBand="1" w:val="04A0"/>
      </w:tblPr>
      <w:tblGrid>
        <w:gridCol w:w="3384"/>
        <w:gridCol w:w="6120"/>
      </w:tblGrid>
      <w:tr>
        <w:trPr>
          <w:cantSplit/>
        </w:trPr>
        <w:tc>
          <w:tcPr>
            <w:tcW w:type="dxa" w:w="4824"/>
            <w:shd w:fill="1A2334"/>
            <w:tcMar>
              <w:top w:w="120" w:type="dxa"/>
              <w:start w:w="150" w:type="dxa"/>
              <w:bottom w:w="120" w:type="dxa"/>
              <w:end w:w="150" w:type="dxa"/>
            </w:tcMar>
            <w:tcBorders>
              <w:top w:val="single" w:sz="4" w:color="FFFFFF"/>
              <w:start w:val="single" w:sz="4" w:color="FFFFFF"/>
              <w:bottom w:val="single" w:sz="4" w:color="FFFFFF"/>
              <w:end w:val="single" w:sz="4" w:color="FFFFFF"/>
              <w:insideH w:val="single" w:sz="4" w:color="FFFFFF"/>
              <w:insideV w:val="single" w:sz="4" w:color="FFFFFF"/>
            </w:tcBorders>
          </w:tcPr>
          <w:p>
            <w:r>
              <w:rPr>
                <w:rFonts w:ascii="Aptos" w:hAnsi="Aptos"/>
                <w:b/>
                <w:i w:val="0"/>
                <w:color w:val="FFFFFF"/>
                <w:sz w:val="18"/>
              </w:rPr>
              <w:t>Feld</w:t>
            </w:r>
          </w:p>
        </w:tc>
        <w:tc>
          <w:tcPr>
            <w:tcW w:type="dxa" w:w="4824"/>
            <w:shd w:fill="1A2334"/>
            <w:tcMar>
              <w:top w:w="120" w:type="dxa"/>
              <w:start w:w="150" w:type="dxa"/>
              <w:bottom w:w="120" w:type="dxa"/>
              <w:end w:w="150" w:type="dxa"/>
            </w:tcMar>
            <w:tcBorders>
              <w:top w:val="single" w:sz="4" w:color="FFFFFF"/>
              <w:start w:val="single" w:sz="4" w:color="FFFFFF"/>
              <w:bottom w:val="single" w:sz="4" w:color="FFFFFF"/>
              <w:end w:val="single" w:sz="4" w:color="FFFFFF"/>
              <w:insideH w:val="single" w:sz="4" w:color="FFFFFF"/>
              <w:insideV w:val="single" w:sz="4" w:color="FFFFFF"/>
            </w:tcBorders>
          </w:tcPr>
          <w:p>
            <w:r>
              <w:rPr>
                <w:rFonts w:ascii="Aptos" w:hAnsi="Aptos"/>
                <w:b/>
                <w:i w:val="0"/>
                <w:color w:val="FFFFFF"/>
                <w:sz w:val="18"/>
              </w:rPr>
              <w:t>Eintrag</w:t>
            </w:r>
          </w:p>
        </w:tc>
      </w:tr>
      <w:tr>
        <w:trPr>
          <w:cantSplit/>
        </w:trPr>
        <w:tc>
          <w:tcPr>
            <w:tcW w:type="dxa" w:w="4824"/>
            <w:shd w:fill="EEF1F7"/>
            <w:tcMar>
              <w:top w:w="150" w:type="dxa"/>
              <w:start w:w="150" w:type="dxa"/>
              <w:bottom w:w="15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i w:val="0"/>
                <w:color w:val="1A2334"/>
                <w:sz w:val="17"/>
              </w:rPr>
              <w:t>Use Case / Zielgruppe / Kanal</w:t>
            </w:r>
          </w:p>
        </w:tc>
        <w:tc>
          <w:tcPr>
            <w:tcW w:type="dxa" w:w="4824"/>
            <w:tcMar>
              <w:top w:w="220" w:type="dxa"/>
              <w:start w:w="150" w:type="dxa"/>
              <w:bottom w:w="22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val="0"/>
                <w:i w:val="0"/>
                <w:color w:val="1A2334"/>
                <w:sz w:val="20"/>
              </w:rPr>
              <w:t xml:space="preserve"> </w:t>
            </w:r>
          </w:p>
        </w:tc>
      </w:tr>
      <w:tr>
        <w:trPr>
          <w:cantSplit/>
        </w:trPr>
        <w:tc>
          <w:tcPr>
            <w:tcW w:type="dxa" w:w="4824"/>
            <w:shd w:fill="EEF1F7"/>
            <w:tcMar>
              <w:top w:w="150" w:type="dxa"/>
              <w:start w:w="150" w:type="dxa"/>
              <w:bottom w:w="15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i w:val="0"/>
                <w:color w:val="1A2334"/>
                <w:sz w:val="17"/>
              </w:rPr>
              <w:t>Soforthinweis / Zeitpunkt</w:t>
            </w:r>
          </w:p>
        </w:tc>
        <w:tc>
          <w:tcPr>
            <w:tcW w:type="dxa" w:w="4824"/>
            <w:tcMar>
              <w:top w:w="220" w:type="dxa"/>
              <w:start w:w="150" w:type="dxa"/>
              <w:bottom w:w="22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val="0"/>
                <w:i w:val="0"/>
                <w:color w:val="1A2334"/>
                <w:sz w:val="20"/>
              </w:rPr>
              <w:t xml:space="preserve"> </w:t>
            </w:r>
          </w:p>
        </w:tc>
      </w:tr>
      <w:tr>
        <w:trPr>
          <w:cantSplit/>
        </w:trPr>
        <w:tc>
          <w:tcPr>
            <w:tcW w:type="dxa" w:w="4824"/>
            <w:shd w:fill="EEF1F7"/>
            <w:tcMar>
              <w:top w:w="150" w:type="dxa"/>
              <w:start w:w="150" w:type="dxa"/>
              <w:bottom w:w="15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i w:val="0"/>
                <w:color w:val="1A2334"/>
                <w:sz w:val="17"/>
              </w:rPr>
              <w:t>Kontext / Grenzen / Wirkung</w:t>
            </w:r>
          </w:p>
        </w:tc>
        <w:tc>
          <w:tcPr>
            <w:tcW w:type="dxa" w:w="4824"/>
            <w:tcMar>
              <w:top w:w="220" w:type="dxa"/>
              <w:start w:w="150" w:type="dxa"/>
              <w:bottom w:w="22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val="0"/>
                <w:i w:val="0"/>
                <w:color w:val="1A2334"/>
                <w:sz w:val="20"/>
              </w:rPr>
              <w:t xml:space="preserve"> </w:t>
            </w:r>
          </w:p>
        </w:tc>
      </w:tr>
      <w:tr>
        <w:trPr>
          <w:cantSplit/>
        </w:trPr>
        <w:tc>
          <w:tcPr>
            <w:tcW w:type="dxa" w:w="4824"/>
            <w:shd w:fill="EEF1F7"/>
            <w:tcMar>
              <w:top w:w="150" w:type="dxa"/>
              <w:start w:w="150" w:type="dxa"/>
              <w:bottom w:w="15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i w:val="0"/>
                <w:color w:val="1A2334"/>
                <w:sz w:val="17"/>
              </w:rPr>
              <w:t>Herkunft / Bearbeitung / Marker</w:t>
            </w:r>
          </w:p>
        </w:tc>
        <w:tc>
          <w:tcPr>
            <w:tcW w:type="dxa" w:w="4824"/>
            <w:tcMar>
              <w:top w:w="220" w:type="dxa"/>
              <w:start w:w="150" w:type="dxa"/>
              <w:bottom w:w="22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val="0"/>
                <w:i w:val="0"/>
                <w:color w:val="1A2334"/>
                <w:sz w:val="20"/>
              </w:rPr>
              <w:t xml:space="preserve"> </w:t>
            </w:r>
          </w:p>
        </w:tc>
      </w:tr>
      <w:tr>
        <w:trPr>
          <w:cantSplit/>
        </w:trPr>
        <w:tc>
          <w:tcPr>
            <w:tcW w:type="dxa" w:w="4824"/>
            <w:shd w:fill="EEF1F7"/>
            <w:tcMar>
              <w:top w:w="150" w:type="dxa"/>
              <w:start w:w="150" w:type="dxa"/>
              <w:bottom w:w="15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i w:val="0"/>
                <w:color w:val="1A2334"/>
                <w:sz w:val="17"/>
              </w:rPr>
              <w:t>Mensch / Korrektur / Beschwerde</w:t>
            </w:r>
          </w:p>
        </w:tc>
        <w:tc>
          <w:tcPr>
            <w:tcW w:type="dxa" w:w="4824"/>
            <w:tcMar>
              <w:top w:w="220" w:type="dxa"/>
              <w:start w:w="150" w:type="dxa"/>
              <w:bottom w:w="22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val="0"/>
                <w:i w:val="0"/>
                <w:color w:val="1A2334"/>
                <w:sz w:val="20"/>
              </w:rPr>
              <w:t xml:space="preserve"> </w:t>
            </w:r>
          </w:p>
        </w:tc>
      </w:tr>
      <w:tr>
        <w:trPr>
          <w:cantSplit/>
        </w:trPr>
        <w:tc>
          <w:tcPr>
            <w:tcW w:type="dxa" w:w="4824"/>
            <w:shd w:fill="EEF1F7"/>
            <w:tcMar>
              <w:top w:w="150" w:type="dxa"/>
              <w:start w:w="150" w:type="dxa"/>
              <w:bottom w:w="15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i w:val="0"/>
                <w:color w:val="1A2334"/>
                <w:sz w:val="17"/>
              </w:rPr>
              <w:t>Evidenz / Tests / Audit</w:t>
            </w:r>
          </w:p>
        </w:tc>
        <w:tc>
          <w:tcPr>
            <w:tcW w:type="dxa" w:w="4824"/>
            <w:tcMar>
              <w:top w:w="220" w:type="dxa"/>
              <w:start w:w="150" w:type="dxa"/>
              <w:bottom w:w="22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val="0"/>
                <w:i w:val="0"/>
                <w:color w:val="1A2334"/>
                <w:sz w:val="20"/>
              </w:rPr>
              <w:t xml:space="preserve"> </w:t>
            </w:r>
          </w:p>
        </w:tc>
      </w:tr>
      <w:tr>
        <w:trPr>
          <w:cantSplit/>
        </w:trPr>
        <w:tc>
          <w:tcPr>
            <w:tcW w:type="dxa" w:w="4824"/>
            <w:shd w:fill="EEF1F7"/>
            <w:tcMar>
              <w:top w:w="150" w:type="dxa"/>
              <w:start w:w="150" w:type="dxa"/>
              <w:bottom w:w="15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i w:val="0"/>
                <w:color w:val="1A2334"/>
                <w:sz w:val="17"/>
              </w:rPr>
              <w:t>Änderung / Monitoring / Review</w:t>
            </w:r>
          </w:p>
        </w:tc>
        <w:tc>
          <w:tcPr>
            <w:tcW w:type="dxa" w:w="4824"/>
            <w:tcMar>
              <w:top w:w="220" w:type="dxa"/>
              <w:start w:w="150" w:type="dxa"/>
              <w:bottom w:w="22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val="0"/>
                <w:i w:val="0"/>
                <w:color w:val="1A2334"/>
                <w:sz w:val="20"/>
              </w:rPr>
              <w:t xml:space="preserve"> </w:t>
            </w:r>
          </w:p>
        </w:tc>
      </w:tr>
    </w:tbl>
    <w:sectPr w:rsidR="00FC693F" w:rsidRPr="0006063C" w:rsidSect="00034616">
      <w:headerReference w:type="default" r:id="rId9"/>
      <w:footerReference w:type="default" r:id="rId10"/>
      <w:pgSz w:w="12240" w:h="15840"/>
      <w:pgMar w:top="1123" w:right="1296" w:bottom="1123" w:left="129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ptos" w:hAnsi="Aptos"/>
        <w:b w:val="0"/>
        <w:i w:val="0"/>
        <w:color w:val="637087"/>
        <w:sz w:val="16"/>
      </w:rPr>
      <w:t>Ein KI-Hinweis allein schafft noch keine Transparenz</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left"/>
    </w:pPr>
    <w:r>
      <w:rPr>
        <w:rFonts w:ascii="Aptos" w:hAnsi="Aptos"/>
        <w:b/>
        <w:i w:val="0"/>
        <w:color w:val="637087"/>
        <w:sz w:val="17"/>
      </w:rPr>
      <w:t>FURKAN SAKIZLI  ·  AI DATA ENGINEERING</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