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Der dreiteilige KI-Arbeitsplatz: Workhorse, Sparring und Quellencheck</w:t>
      </w:r>
    </w:p>
    <w:p>
      <w:pPr>
        <w:spacing w:after="340" w:line="293" w:lineRule="auto"/>
      </w:pPr>
      <w:r>
        <w:rPr>
          <w:rFonts w:ascii="Source Serif 4" w:hAnsi="Source Serif 4" w:eastAsia="Source Serif 4"/>
          <w:b w:val="0"/>
          <w:i/>
          <w:color w:val="637087"/>
          <w:sz w:val="26"/>
        </w:rPr>
        <w:t>Warum eine klare Rollenverteilung bessere Entscheidungen bringt als ein einziger Chat für alles.</w:t>
      </w:r>
    </w:p>
    <w:p>
      <w:pPr>
        <w:spacing w:after="420"/>
      </w:pPr>
      <w:r>
        <w:rPr>
          <w:rFonts w:ascii="IBM Plex Mono" w:hAnsi="IBM Plex Mono" w:eastAsia="IBM Plex Mono"/>
          <w:b w:val="0"/>
          <w:i w:val="0"/>
          <w:color w:val="4F7CFF"/>
          <w:sz w:val="17"/>
        </w:rPr>
        <w:t>7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Viele Aufgaben landen im selben Chat: Ideen entwickeln, Texte schreiben, Entscheidungen prüfen und Fakten kontrollieren. Das ist bequem, aber es vermischt unterschiedliche Arten von Arbeit. Sobald eine Antwort gleichzeitig Tempo machen, kreativ sein und sich selbst kontrollieren soll, wird es schwer, ihre Qualität einzuschätzen. Ein besserer Arbeitsplatz trennt deshalb drei Rollen.</w:t>
            </w:r>
          </w:p>
        </w:tc>
      </w:tr>
    </w:tbl>
    <w:p>
      <w:pPr>
        <w:spacing w:before="360" w:after="140"/>
      </w:pPr>
      <w:r>
        <w:rPr>
          <w:rFonts w:ascii="Fraunces" w:hAnsi="Fraunces" w:eastAsia="Fraunces"/>
          <w:b/>
          <w:i w:val="0"/>
          <w:color w:val="1A2334"/>
          <w:sz w:val="36"/>
        </w:rPr>
        <w:t>Eine Aufgabe, drei Arten von Arbeit</w:t>
      </w:r>
    </w:p>
    <w:p>
      <w:pPr>
        <w:spacing w:before="0" w:after="160" w:line="322" w:lineRule="auto"/>
      </w:pPr>
      <w:r>
        <w:rPr>
          <w:rFonts w:ascii="Source Serif 4" w:hAnsi="Source Serif 4" w:eastAsia="Source Serif 4"/>
          <w:b w:val="0"/>
          <w:i w:val="0"/>
          <w:color w:val="1A2334"/>
          <w:sz w:val="22"/>
        </w:rPr>
        <w:t>Das Workhorse produziert. Es bringt Material in eine erste brauchbare Form: Entwurf, Struktur, Varianten, Zusammenfassung oder Code. Sein Wert liegt im Vorwärtskommen. Es muss nicht jede Entscheidung endgültig absichern, solange seine Ergebnisse als Arbeitsstand erkennbar bleiben.</w:t>
      </w:r>
    </w:p>
    <w:p>
      <w:pPr>
        <w:spacing w:before="0" w:after="160" w:line="322" w:lineRule="auto"/>
      </w:pPr>
      <w:r>
        <w:rPr>
          <w:rFonts w:ascii="Source Serif 4" w:hAnsi="Source Serif 4" w:eastAsia="Source Serif 4"/>
          <w:b w:val="0"/>
          <w:i w:val="0"/>
          <w:color w:val="1A2334"/>
          <w:sz w:val="22"/>
        </w:rPr>
        <w:t>Das Sparring widerspricht. Diese Rolle fragt nach der Zielgruppe, entdeckt Lücken, formuliert Gegenargumente und macht Annahmen sichtbar. Sie ist besonders nützlich, wenn ein erster Entwurf zu glatt wirkt oder wenn eine Entscheidung mehr als eine plausible Seite hat.</w:t>
      </w:r>
    </w:p>
    <w:p>
      <w:pPr>
        <w:spacing w:before="0" w:after="160" w:line="322" w:lineRule="auto"/>
      </w:pPr>
      <w:r>
        <w:rPr>
          <w:rFonts w:ascii="Source Serif 4" w:hAnsi="Source Serif 4" w:eastAsia="Source Serif 4"/>
          <w:b w:val="0"/>
          <w:i w:val="0"/>
          <w:color w:val="1A2334"/>
          <w:sz w:val="22"/>
        </w:rPr>
        <w:t>Der Quellencheck prüft. Er trennt belegte Aussagen von Vermutungen, verlangt belastbare Unterlagen und markiert, was noch offen ist. Diese Rolle schreibt nicht automatisch den schönsten Text. Sie sorgt dafür, dass Schönheit nicht mit Gewissheit verwechselt wird.</w:t>
      </w:r>
    </w:p>
    <w:p>
      <w:pPr>
        <w:spacing w:before="360" w:after="140"/>
      </w:pPr>
      <w:r>
        <w:rPr>
          <w:rFonts w:ascii="Fraunces" w:hAnsi="Fraunces" w:eastAsia="Fraunces"/>
          <w:b/>
          <w:i w:val="0"/>
          <w:color w:val="1A2334"/>
          <w:sz w:val="36"/>
        </w:rPr>
        <w:t>Die Rollen sind keine drei Persönlichkeiten</w:t>
      </w:r>
    </w:p>
    <w:p>
      <w:pPr>
        <w:spacing w:before="0" w:after="160" w:line="322" w:lineRule="auto"/>
      </w:pPr>
      <w:r>
        <w:rPr>
          <w:rFonts w:ascii="Source Serif 4" w:hAnsi="Source Serif 4" w:eastAsia="Source Serif 4"/>
          <w:b w:val="0"/>
          <w:i w:val="0"/>
          <w:color w:val="1A2334"/>
          <w:sz w:val="22"/>
        </w:rPr>
        <w:t>Du brauchst nicht zwingend drei verschiedene Werkzeuge. Entscheidend ist die Trennung der Aufträge. Derselbe Chat kann nacheinander produzieren, kritisch lesen und prüfen, wenn du ihm klar sagst, welche Rolle gerade gilt und welches Ergebnis du erwartest.</w:t>
      </w:r>
    </w:p>
    <w:p>
      <w:pPr>
        <w:spacing w:before="0" w:after="160" w:line="322" w:lineRule="auto"/>
      </w:pPr>
      <w:r>
        <w:rPr>
          <w:rFonts w:ascii="Source Serif 4" w:hAnsi="Source Serif 4" w:eastAsia="Source Serif 4"/>
          <w:b w:val="0"/>
          <w:i w:val="0"/>
          <w:color w:val="1A2334"/>
          <w:sz w:val="22"/>
        </w:rPr>
        <w:t>Die Trennung schafft eine kleine Reibung – und genau das ist ihr Nutzen. Ein Entwurf darf erst einmal schnell sein. Ein Gegenlesen darf unbequem sein. Eine Prüfung darf das Ergebnis anhalten, wenn ein Beleg fehlt. So bekommt jede Tätigkeit ihren eigenen Qualitätsmaßstab.</w:t>
      </w:r>
    </w:p>
    <w:p>
      <w:pPr>
        <w:spacing w:before="360" w:after="140"/>
      </w:pPr>
      <w:r>
        <w:rPr>
          <w:rFonts w:ascii="Fraunces" w:hAnsi="Fraunces" w:eastAsia="Fraunces"/>
          <w:b/>
          <w:i w:val="0"/>
          <w:color w:val="1A2334"/>
          <w:sz w:val="36"/>
        </w:rPr>
        <w:t>So entsteht ein nachvollziehbarer Ablauf</w:t>
      </w:r>
    </w:p>
    <w:p>
      <w:pPr>
        <w:spacing w:before="0" w:after="160" w:line="322" w:lineRule="auto"/>
      </w:pPr>
      <w:r>
        <w:rPr>
          <w:rFonts w:ascii="Source Serif 4" w:hAnsi="Source Serif 4" w:eastAsia="Source Serif 4"/>
          <w:b w:val="0"/>
          <w:i w:val="0"/>
          <w:color w:val="1A2334"/>
          <w:sz w:val="22"/>
        </w:rPr>
        <w:t>Beginne mit dem Workhorse und formuliere ein sichtbares Zwischenprodukt. Übergib dieses Ergebnis anschließend an das Sparring mit einer konkreten Prüfbitte: Was fehlt, welche Annahme ist zu stark, für wen passt der Text noch nicht? Erst danach kommt der Quellencheck: Welche Aussagen müssen belegt, eingegrenzt oder gestrichen werden?</w:t>
      </w:r>
    </w:p>
    <w:p>
      <w:pPr>
        <w:spacing w:before="0" w:after="160" w:line="322" w:lineRule="auto"/>
      </w:pPr>
      <w:r>
        <w:rPr>
          <w:rFonts w:ascii="Source Serif 4" w:hAnsi="Source Serif 4" w:eastAsia="Source Serif 4"/>
          <w:b w:val="0"/>
          <w:i w:val="0"/>
          <w:color w:val="1A2334"/>
          <w:sz w:val="22"/>
        </w:rPr>
        <w:t>Am Ende entscheidest du. Die Rollen liefern unterschiedliche Sichtweisen, aber sie nehmen dir keine Verantwortung ab. Gerade deshalb ist der Ablauf nützlich: Du siehst, ob eine Änderung aus Kreativität, Kritik oder Prüfung entstanden ist.</w:t>
      </w:r>
    </w:p>
    <w:p>
      <w:pPr>
        <w:spacing w:before="360" w:after="140"/>
      </w:pPr>
      <w:r>
        <w:rPr>
          <w:rFonts w:ascii="Fraunces" w:hAnsi="Fraunces" w:eastAsia="Fraunces"/>
          <w:b/>
          <w:i w:val="0"/>
          <w:color w:val="1A2334"/>
          <w:sz w:val="36"/>
        </w:rPr>
        <w:t>Ein kleines Rollenprotokoll reicht</w:t>
      </w:r>
    </w:p>
    <w:p>
      <w:pPr>
        <w:spacing w:before="0" w:after="160" w:line="322" w:lineRule="auto"/>
      </w:pPr>
      <w:r>
        <w:rPr>
          <w:rFonts w:ascii="Source Serif 4" w:hAnsi="Source Serif 4" w:eastAsia="Source Serif 4"/>
          <w:b w:val="0"/>
          <w:i w:val="0"/>
          <w:color w:val="1A2334"/>
          <w:sz w:val="22"/>
        </w:rPr>
        <w:t>Halte zu jeder Rolle eine kurze Notiz fest: Aufgabe, erlaubter Input, gewünschter Output und Stopp-Regel. Die Stopp-Regel ist wichtig. Das Workhorse stoppt nach einem verwertbaren Entwurf. Das Sparring stoppt nach wenigen priorisierten Einwänden. Der Quellencheck stoppt, wenn die Grundlage nicht ausreicht.</w:t>
      </w:r>
    </w:p>
    <w:p>
      <w:pPr>
        <w:spacing w:before="0" w:after="160" w:line="322" w:lineRule="auto"/>
      </w:pPr>
      <w:r>
        <w:rPr>
          <w:rFonts w:ascii="Source Serif 4" w:hAnsi="Source Serif 4" w:eastAsia="Source Serif 4"/>
          <w:b w:val="0"/>
          <w:i w:val="0"/>
          <w:color w:val="1A2334"/>
          <w:sz w:val="22"/>
        </w:rPr>
        <w:t>Damit wird aus einem unübersichtlichen Gespräch ein Arbeitsablauf, den du wiederholen und verbessern kannst. Nicht jedes Projekt braucht alle drei Rollen mit gleicher Tiefe. Aber jedes anspruchsvolle Projekt profitiert davon, Produktion, Kritik und Prüfung unterscheiden zu können.</w:t>
      </w:r>
    </w:p>
    <w:p>
      <w:pPr>
        <w:spacing w:before="360" w:after="140"/>
      </w:pPr>
      <w:r>
        <w:rPr>
          <w:rFonts w:ascii="Fraunces" w:hAnsi="Fraunces" w:eastAsia="Fraunces"/>
          <w:b/>
          <w:i w:val="0"/>
          <w:color w:val="1A2334"/>
          <w:sz w:val="36"/>
        </w:rPr>
        <w:t>Die Rollenkarte für dein nächstes Projekt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ROLLENKARTE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**Workhorse**</w:t>
            </w:r>
          </w:p>
          <w:p>
            <w:pPr>
              <w:spacing w:after="40"/>
            </w:pPr>
            <w:r>
              <w:rPr>
                <w:rFonts w:ascii="IBM Plex Mono" w:hAnsi="IBM Plex Mono" w:eastAsia="IBM Plex Mono"/>
                <w:b w:val="0"/>
                <w:i w:val="0"/>
                <w:color w:val="27334A"/>
                <w:sz w:val="17"/>
              </w:rPr>
              <w:t>Erstelle zuerst …</w:t>
            </w:r>
          </w:p>
          <w:p>
            <w:pPr>
              <w:spacing w:after="40"/>
            </w:pPr>
            <w:r>
              <w:rPr>
                <w:rFonts w:ascii="IBM Plex Mono" w:hAnsi="IBM Plex Mono" w:eastAsia="IBM Plex Mono"/>
                <w:b w:val="0"/>
                <w:i w:val="0"/>
                <w:color w:val="27334A"/>
                <w:sz w:val="17"/>
              </w:rPr>
              <w:t>Output: …</w:t>
            </w:r>
          </w:p>
          <w:p>
            <w:pPr>
              <w:spacing w:after="40"/>
            </w:pPr>
            <w:r>
              <w:rPr>
                <w:rFonts w:ascii="IBM Plex Mono" w:hAnsi="IBM Plex Mono" w:eastAsia="IBM Plex Mono"/>
                <w:b w:val="0"/>
                <w:i w:val="0"/>
                <w:color w:val="27334A"/>
                <w:sz w:val="17"/>
              </w:rPr>
              <w:t>Stopp, wenn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**Sparring**</w:t>
            </w:r>
          </w:p>
          <w:p>
            <w:pPr>
              <w:spacing w:after="40"/>
            </w:pPr>
            <w:r>
              <w:rPr>
                <w:rFonts w:ascii="IBM Plex Mono" w:hAnsi="IBM Plex Mono" w:eastAsia="IBM Plex Mono"/>
                <w:b w:val="0"/>
                <w:i w:val="0"/>
                <w:color w:val="27334A"/>
                <w:sz w:val="17"/>
              </w:rPr>
              <w:t>Prüfe diesen Entwurf auf …</w:t>
            </w:r>
          </w:p>
          <w:p>
            <w:pPr>
              <w:spacing w:after="40"/>
            </w:pPr>
            <w:r>
              <w:rPr>
                <w:rFonts w:ascii="IBM Plex Mono" w:hAnsi="IBM Plex Mono" w:eastAsia="IBM Plex Mono"/>
                <w:b w:val="0"/>
                <w:i w:val="0"/>
                <w:color w:val="27334A"/>
                <w:sz w:val="17"/>
              </w:rPr>
              <w:t>Gib höchstens … priorisierte Einwände.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**Quellencheck**</w:t>
            </w:r>
          </w:p>
          <w:p>
            <w:pPr>
              <w:spacing w:after="40"/>
            </w:pPr>
            <w:r>
              <w:rPr>
                <w:rFonts w:ascii="IBM Plex Mono" w:hAnsi="IBM Plex Mono" w:eastAsia="IBM Plex Mono"/>
                <w:b w:val="0"/>
                <w:i w:val="0"/>
                <w:color w:val="27334A"/>
                <w:sz w:val="17"/>
              </w:rPr>
              <w:t>Markiere Aussagen ohne tragfähige Grundlage.</w:t>
            </w:r>
          </w:p>
          <w:p>
            <w:pPr>
              <w:spacing w:after="40"/>
            </w:pPr>
            <w:r>
              <w:rPr>
                <w:rFonts w:ascii="IBM Plex Mono" w:hAnsi="IBM Plex Mono" w:eastAsia="IBM Plex Mono"/>
                <w:b w:val="0"/>
                <w:i w:val="0"/>
                <w:color w:val="27334A"/>
                <w:sz w:val="17"/>
              </w:rPr>
              <w:t>Nenne, was belegt, unsicher oder offen ist.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**Entscheidung**</w:t>
            </w:r>
          </w:p>
          <w:p>
            <w:pPr>
              <w:spacing w:after="40"/>
            </w:pPr>
            <w:r>
              <w:rPr>
                <w:rFonts w:ascii="IBM Plex Mono" w:hAnsi="IBM Plex Mono" w:eastAsia="IBM Plex Mono"/>
                <w:b w:val="0"/>
                <w:i w:val="0"/>
                <w:color w:val="27334A"/>
                <w:sz w:val="17"/>
              </w:rPr>
              <w:t>Ich übernehme, ändere oder verwerfe …, weil …</w:t>
            </w:r>
          </w:p>
        </w:tc>
      </w:tr>
    </w:tbl>
    <w:p>
      <w:pPr>
        <w:spacing w:before="240" w:after="280" w:line="322" w:lineRule="auto"/>
      </w:pPr>
      <w:r>
        <w:rPr>
          <w:rFonts w:ascii="Source Serif 4" w:hAnsi="Source Serif 4" w:eastAsia="Source Serif 4"/>
          <w:b w:val="0"/>
          <w:i w:val="0"/>
          <w:color w:val="1A2334"/>
          <w:sz w:val="22"/>
        </w:rPr>
        <w:t>Ein guter KI-Arbeitsplatz besteht nicht aus möglichst vielen Chats. Er besteht aus klaren Übergängen. Wenn Produktion, Kritik und Prüfung getrennt sichtbar werden, kannst du schneller arbeiten, ohne den Überblick über die Qualität zu verlieren.</w:t>
      </w:r>
    </w:p>
    <w:p>
      <w:r>
        <w:br w:type="page"/>
      </w:r>
    </w:p>
    <w:p>
      <w:pPr>
        <w:spacing w:after="140"/>
      </w:pPr>
      <w:r>
        <w:rPr>
          <w:rFonts w:ascii="Fraunces" w:hAnsi="Fraunces" w:eastAsia="Fraunces"/>
          <w:b/>
          <w:i w:val="0"/>
          <w:color w:val="1A2334"/>
          <w:sz w:val="50"/>
        </w:rPr>
        <w:t>Übungsblatt: Richte drei Rollen für eine Aufgabe ein</w:t>
      </w:r>
    </w:p>
    <w:p>
      <w:pPr>
        <w:spacing w:before="0" w:after="280" w:line="322" w:lineRule="auto"/>
      </w:pPr>
      <w:r>
        <w:rPr>
          <w:rFonts w:ascii="Source Serif 4" w:hAnsi="Source Serif 4" w:eastAsia="Source Serif 4"/>
          <w:b w:val="0"/>
          <w:i w:val="0"/>
          <w:color w:val="1A2334"/>
          <w:sz w:val="22"/>
        </w:rPr>
        <w:t>Wähle eine Aufgabe, bei der du einen Text, einen Plan oder eine Entscheidung ausarbeiten musst. Führe sie bewusst in drei kurzen Runden aus.</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Workhorse beauftragen</w:t>
            </w:r>
          </w:p>
          <w:p>
            <w:pPr>
              <w:spacing w:line="300" w:lineRule="auto"/>
            </w:pPr>
            <w:r>
              <w:rPr>
                <w:rFonts w:ascii="Source Serif 4" w:hAnsi="Source Serif 4" w:eastAsia="Source Serif 4"/>
                <w:b w:val="0"/>
                <w:i w:val="0"/>
                <w:color w:val="354159"/>
                <w:sz w:val="21"/>
              </w:rPr>
              <w:t>Bitte um einen ersten Entwurf. Benenne Ziel, Format und den Punkt, an dem ein brauchbarer Arbeitsstand erreicht ist.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Sparring einsetzen</w:t>
            </w:r>
          </w:p>
          <w:p>
            <w:pPr>
              <w:spacing w:line="300" w:lineRule="auto"/>
            </w:pPr>
            <w:r>
              <w:rPr>
                <w:rFonts w:ascii="Source Serif 4" w:hAnsi="Source Serif 4" w:eastAsia="Source Serif 4"/>
                <w:b w:val="0"/>
                <w:i w:val="0"/>
                <w:color w:val="354159"/>
                <w:sz w:val="21"/>
              </w:rPr>
              <w:t>Gib den Entwurf weiter. Bitte um drei priorisierte Einwände oder Verbesserungen – keine vollständige Neufassung.</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Quellencheck durchführen</w:t>
            </w:r>
          </w:p>
          <w:p>
            <w:pPr>
              <w:spacing w:line="300" w:lineRule="auto"/>
            </w:pPr>
            <w:r>
              <w:rPr>
                <w:rFonts w:ascii="Source Serif 4" w:hAnsi="Source Serif 4" w:eastAsia="Source Serif 4"/>
                <w:b w:val="0"/>
                <w:i w:val="0"/>
                <w:color w:val="354159"/>
                <w:sz w:val="21"/>
              </w:rPr>
              <w:t>Markiere Behauptungen, Zahlen oder Schlussfolgerungen. Prüfe, welche davon eine Grundlage brauchen und was derzeit nur Annahme ist.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Entscheidung dokumentieren</w:t>
            </w:r>
          </w:p>
          <w:p>
            <w:pPr>
              <w:spacing w:line="300" w:lineRule="auto"/>
            </w:pPr>
            <w:r>
              <w:rPr>
                <w:rFonts w:ascii="Source Serif 4" w:hAnsi="Source Serif 4" w:eastAsia="Source Serif 4"/>
                <w:b w:val="0"/>
                <w:i w:val="0"/>
                <w:color w:val="354159"/>
                <w:sz w:val="21"/>
              </w:rPr>
              <w:t>Notiere, welche Änderung du übernimmst, welche du ablehnst und welche Frage offen bleibt.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Rolle, die ich bisher zu selten getrennt genutzt habe: ____________________________________________________</w:t>
            </w:r>
          </w:p>
          <w:p>
            <w:pPr>
              <w:spacing w:after="160"/>
            </w:pPr>
            <w:r>
              <w:rPr>
                <w:rFonts w:ascii="Source Serif 4" w:hAnsi="Source Serif 4" w:eastAsia="Source Serif 4"/>
                <w:b w:val="0"/>
                <w:i w:val="0"/>
                <w:color w:val="354159"/>
                <w:sz w:val="22"/>
              </w:rPr>
              <w:t>Meine nächste Entscheidung nach dem Quellencheck: 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