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ARCHITEKTUR &amp; SOUVERÄNITÄT</w:t>
      </w:r>
    </w:p>
    <w:p>
      <w:pPr>
        <w:spacing w:after="160" w:line="235" w:lineRule="auto"/>
      </w:pPr>
      <w:r>
        <w:rPr>
          <w:rFonts w:ascii="Fraunces" w:hAnsi="Fraunces" w:eastAsia="Fraunces"/>
          <w:b/>
          <w:i w:val="0"/>
          <w:color w:val="1A2334"/>
          <w:sz w:val="56"/>
        </w:rPr>
        <w:t>Die hybride KI-Architektur: Das richtige Modell für den richtigen Arbeitsschritt</w:t>
      </w:r>
    </w:p>
    <w:p>
      <w:pPr>
        <w:spacing w:after="340" w:line="293" w:lineRule="auto"/>
      </w:pPr>
      <w:r>
        <w:rPr>
          <w:rFonts w:ascii="Source Serif 4" w:hAnsi="Source Serif 4" w:eastAsia="Source Serif 4"/>
          <w:b w:val="0"/>
          <w:i/>
          <w:color w:val="637087"/>
          <w:sz w:val="26"/>
        </w:rPr>
        <w:t>Souveränität entsteht nicht dadurch, alles lokal oder alles in der Cloud zu betreiben. Sie entsteht durch bewusstes Routing, begrenzte Übergaben und tragfähige Rückwege.</w:t>
      </w:r>
    </w:p>
    <w:p>
      <w:pPr>
        <w:spacing w:after="420"/>
      </w:pPr>
      <w:r>
        <w:rPr>
          <w:rFonts w:ascii="IBM Plex Mono" w:hAnsi="IBM Plex Mono" w:eastAsia="IBM Plex Mono"/>
          <w:b w:val="0"/>
          <w:i w:val="0"/>
          <w:color w:val="4F7CFF"/>
          <w:sz w:val="17"/>
        </w:rPr>
        <w:t>15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Die Entscheidung zwischen lokaler KI und Cloud wird häufig wie eine Glaubensfrage geführt. Lokal steht für Kontrolle, Cloud für Leistung. In wirklichen Projekten ist beides zu grob. Eine Recherche mit öffentlichem Material, die Analyse vertraulicher Dokumente und eine automatisierte Freigabe haben unterschiedliche Anforderungen. Eine hybride Architektur ordnet deshalb nicht das ganze Unternehmen einem Ort zu. Sie zerlegt Arbeit in Schritte und entscheidet für jeden Schritt neu: Welche Daten sind nötig, welche Fähigkeit wird gebraucht, welche Wirkung entsteht – und wie lässt sich das Ergebnis prüfen?</w:t>
            </w:r>
          </w:p>
        </w:tc>
      </w:tr>
    </w:tbl>
    <w:p>
      <w:pPr>
        <w:keepNext/>
        <w:spacing w:before="360" w:after="140"/>
      </w:pPr>
      <w:r>
        <w:rPr>
          <w:rFonts w:ascii="Fraunces" w:hAnsi="Fraunces" w:eastAsia="Fraunces"/>
          <w:b/>
          <w:i w:val="0"/>
          <w:color w:val="1A2334"/>
          <w:sz w:val="36"/>
        </w:rPr>
        <w:t>Hybrid ist kein Kompromiss, sondern Arbeitsteilung</w:t>
      </w:r>
    </w:p>
    <w:p>
      <w:pPr>
        <w:spacing w:before="0" w:after="160" w:line="322" w:lineRule="auto"/>
      </w:pPr>
      <w:r>
        <w:rPr>
          <w:rFonts w:ascii="Source Serif 4" w:hAnsi="Source Serif 4" w:eastAsia="Source Serif 4"/>
          <w:b w:val="0"/>
          <w:i w:val="0"/>
          <w:color w:val="1A2334"/>
          <w:sz w:val="22"/>
        </w:rPr>
        <w:t>Eine schwache Hybridlösung entsteht, wenn Aufgaben zufällig zwischen mehreren Werkzeugen verteilt werden. Eine starke Hybridarchitektur gibt jedem Ausführungsort eine klare Rolle. Sensible Vorverarbeitung kann nah an den Daten stattfinden, ein leistungsfähiges Modell kann mit bereinigtem Material arbeiten und eine unabhängige Prüfschicht kann das Ergebnis kontrollieren.</w:t>
      </w:r>
    </w:p>
    <w:p>
      <w:pPr>
        <w:spacing w:before="0" w:after="160" w:line="322" w:lineRule="auto"/>
      </w:pPr>
      <w:r>
        <w:rPr>
          <w:rFonts w:ascii="Source Serif 4" w:hAnsi="Source Serif 4" w:eastAsia="Source Serif 4"/>
          <w:b w:val="0"/>
          <w:i w:val="0"/>
          <w:color w:val="1A2334"/>
          <w:sz w:val="22"/>
        </w:rPr>
        <w:t>Der Vorteil liegt nicht darin, möglichst viele Systeme zu verbinden. Er liegt in der Trennung unterschiedlicher Verantwortungen. Datenhaltung, Verarbeitung, Generierung, Prüfung und Freigabe müssen nicht am selben Ort stattfinden. Ihre Übergänge müssen jedoch sichtbar und begründet sein.</w:t>
      </w:r>
    </w:p>
    <w:p>
      <w:pPr>
        <w:spacing w:before="0" w:after="160" w:line="322" w:lineRule="auto"/>
      </w:pPr>
      <w:r>
        <w:rPr>
          <w:rFonts w:ascii="Source Serif 4" w:hAnsi="Source Serif 4" w:eastAsia="Source Serif 4"/>
          <w:b w:val="0"/>
          <w:i w:val="0"/>
          <w:color w:val="1A2334"/>
          <w:sz w:val="22"/>
        </w:rPr>
        <w:t>Damit wird Hybridität zu einer Gestaltungsentscheidung: Jeder Schritt erhält genau die Umgebung, die seine Daten, Fähigkeiten und Folgen rechtfertigen. Die Architektur folgt der Arbeit – nicht der Bequemlichkeit eines einzelnen Werkzeugs.</w:t>
      </w:r>
    </w:p>
    <w:p>
      <w:pPr>
        <w:keepNext/>
        <w:spacing w:before="360" w:after="140"/>
      </w:pPr>
      <w:r>
        <w:rPr>
          <w:rFonts w:ascii="Fraunces" w:hAnsi="Fraunces" w:eastAsia="Fraunces"/>
          <w:b/>
          <w:i w:val="0"/>
          <w:color w:val="1A2334"/>
          <w:sz w:val="36"/>
        </w:rPr>
        <w:t>Fünf Kriterien bestimmen den Ausführungsort</w:t>
      </w:r>
    </w:p>
    <w:p>
      <w:pPr>
        <w:spacing w:before="0" w:after="160" w:line="322" w:lineRule="auto"/>
      </w:pPr>
      <w:r>
        <w:rPr>
          <w:rFonts w:ascii="Source Serif 4" w:hAnsi="Source Serif 4" w:eastAsia="Source Serif 4"/>
          <w:b w:val="0"/>
          <w:i w:val="0"/>
          <w:color w:val="1A2334"/>
          <w:sz w:val="22"/>
        </w:rPr>
        <w:t>Das erste Kriterium ist Sensibilität. Welche Daten braucht der Schritt wirklich, und dürfen sie den kontrollierten Bereich verlassen? Die zweite Frage ist Fähigkeit: Benötigt die Aufgabe besondere Modellqualität, ein großes Kontextfenster, Bilder, Werkzeuge oder hohe Geschwindigkeit?</w:t>
      </w:r>
    </w:p>
    <w:p>
      <w:pPr>
        <w:spacing w:before="0" w:after="160" w:line="322" w:lineRule="auto"/>
      </w:pPr>
      <w:r>
        <w:rPr>
          <w:rFonts w:ascii="Source Serif 4" w:hAnsi="Source Serif 4" w:eastAsia="Source Serif 4"/>
          <w:b w:val="0"/>
          <w:i w:val="0"/>
          <w:color w:val="1A2334"/>
          <w:sz w:val="22"/>
        </w:rPr>
        <w:t>Drittens zählen Kosten. Nicht nur der Preis pro Anfrage, sondern auch Betrieb, Wartung, Personal und Prüflast gehören dazu. Viertens zählt Latenz: Muss eine Antwort sofort entstehen, darf sie gebündelt werden oder kann sie als Hintergrundlauf arbeiten? Fünftens entscheidet Verifizierbarkeit. Je schwerer ein Ergebnis zu prüfen ist, desto enger sollte seine Wirkung begrenzt sein.</w:t>
      </w:r>
    </w:p>
    <w:p>
      <w:pPr>
        <w:spacing w:before="0" w:after="160" w:line="322" w:lineRule="auto"/>
      </w:pPr>
      <w:r>
        <w:rPr>
          <w:rFonts w:ascii="Source Serif 4" w:hAnsi="Source Serif 4" w:eastAsia="Source Serif 4"/>
          <w:b w:val="0"/>
          <w:i w:val="0"/>
          <w:color w:val="1A2334"/>
          <w:sz w:val="22"/>
        </w:rPr>
        <w:t>Diese Kriterien wirken zusammen. Ein günstiges Modell kann teuer werden, wenn seine Ergebnisse ständig nachbearbeitet werden. Ein starkes Modell ist ungeeignet, wenn die benötigten Daten nicht in seine Umgebung gelangen dürfen. Routing ist deshalb keine Rangliste von Modellen, sondern eine Zuordnung von Anforderungen.</w:t>
      </w:r>
    </w:p>
    <w:p>
      <w:pPr>
        <w:keepNext/>
        <w:spacing w:before="360" w:after="140"/>
      </w:pPr>
      <w:r>
        <w:rPr>
          <w:rFonts w:ascii="Fraunces" w:hAnsi="Fraunces" w:eastAsia="Fraunces"/>
          <w:b/>
          <w:i w:val="0"/>
          <w:color w:val="1A2334"/>
          <w:sz w:val="36"/>
        </w:rPr>
        <w:t>Drei Zonen schaffen eine lesbare Architektur</w:t>
      </w:r>
    </w:p>
    <w:p>
      <w:pPr>
        <w:spacing w:before="0" w:after="160" w:line="322" w:lineRule="auto"/>
      </w:pPr>
      <w:r>
        <w:rPr>
          <w:rFonts w:ascii="Source Serif 4" w:hAnsi="Source Serif 4" w:eastAsia="Source Serif 4"/>
          <w:b w:val="0"/>
          <w:i w:val="0"/>
          <w:color w:val="1A2334"/>
          <w:sz w:val="22"/>
        </w:rPr>
        <w:t>Die kontrollierte Zone verarbeitet besonders sensible Informationen, Identitäten, interne Rohdaten oder Schlüssel. Sie reduziert, anonymisiert, extrahiert und prüft, bevor Material weitergegeben wird. Diese Zone kann lokal oder in einer streng kontrollierten Umgebung liegen; entscheidend sind Zugriff und Zweckbindung.</w:t>
      </w:r>
    </w:p>
    <w:p>
      <w:pPr>
        <w:spacing w:before="0" w:after="160" w:line="322" w:lineRule="auto"/>
      </w:pPr>
      <w:r>
        <w:rPr>
          <w:rFonts w:ascii="Source Serif 4" w:hAnsi="Source Serif 4" w:eastAsia="Source Serif 4"/>
          <w:b w:val="0"/>
          <w:i w:val="0"/>
          <w:color w:val="1A2334"/>
          <w:sz w:val="22"/>
        </w:rPr>
        <w:t>Die geschützte Arbeitszone enthält freigegebene interne Informationen. Dort können Modelle Entwürfe, Analysen und strukturierte Zwischenergebnisse erzeugen. Zugänge, Protokolle und Aufbewahrung bleiben definiert. Die offene Leistungszone arbeitet ausschließlich mit öffentlichem, synthetischem oder ausreichend bereinigtem Material und kann besondere Fähigkeiten flexibel nutzen.</w:t>
      </w:r>
    </w:p>
    <w:p>
      <w:pPr>
        <w:spacing w:before="0" w:after="160" w:line="322" w:lineRule="auto"/>
      </w:pPr>
      <w:r>
        <w:rPr>
          <w:rFonts w:ascii="Source Serif 4" w:hAnsi="Source Serif 4" w:eastAsia="Source Serif 4"/>
          <w:b w:val="0"/>
          <w:i w:val="0"/>
          <w:color w:val="1A2334"/>
          <w:sz w:val="22"/>
        </w:rPr>
        <w:t>Eine Aufgabe darf zwischen Zonen wandern, aber nie als unsichtbarer Kompletttransfer. Jede Übergabe benennt Felder, Entfernungsschritte, Zweck und Rückkehrweg. Datenminimierung ist damit nicht nur Datenschutz, sondern eine technische Schnittstelle.</w:t>
      </w:r>
    </w:p>
    <w:p>
      <w:pPr>
        <w:keepNext/>
        <w:spacing w:before="360" w:after="140"/>
      </w:pPr>
      <w:r>
        <w:rPr>
          <w:rFonts w:ascii="Fraunces" w:hAnsi="Fraunces" w:eastAsia="Fraunces"/>
          <w:b/>
          <w:i w:val="0"/>
          <w:color w:val="1A2334"/>
          <w:sz w:val="36"/>
        </w:rPr>
        <w:t>Der Router braucht Regeln statt Bauchgefühl</w:t>
      </w:r>
    </w:p>
    <w:p>
      <w:pPr>
        <w:spacing w:before="0" w:after="160" w:line="322" w:lineRule="auto"/>
      </w:pPr>
      <w:r>
        <w:rPr>
          <w:rFonts w:ascii="Source Serif 4" w:hAnsi="Source Serif 4" w:eastAsia="Source Serif 4"/>
          <w:b w:val="0"/>
          <w:i w:val="0"/>
          <w:color w:val="1A2334"/>
          <w:sz w:val="22"/>
        </w:rPr>
        <w:t>Ein Router kann ein technischer Dienst, ein Workflow oder eine menschlich gepflegte Entscheidungstabelle sein. Seine Aufgabe ist stets gleich: Material klassifizieren, Anforderungen lesen und einen erlaubten Ausführungspfad wählen. Er darf nicht allein nach Modellqualität oder Verfügbarkeit entscheiden.</w:t>
      </w:r>
    </w:p>
    <w:p>
      <w:pPr>
        <w:spacing w:before="0" w:after="160" w:line="322" w:lineRule="auto"/>
      </w:pPr>
      <w:r>
        <w:rPr>
          <w:rFonts w:ascii="Source Serif 4" w:hAnsi="Source Serif 4" w:eastAsia="Source Serif 4"/>
          <w:b w:val="0"/>
          <w:i w:val="0"/>
          <w:color w:val="1A2334"/>
          <w:sz w:val="22"/>
        </w:rPr>
        <w:t>Gute Routingregeln sind nachvollziehbar. „Wenn personenbezogene Rohdaten benötigt werden, bleibt die Vorverarbeitung in der kontrollierten Zone.“ „Wenn nur ein öffentlicher, bereinigter Auszug gebraucht wird, darf die Generierung in die offene Zone wechseln.“ „Wenn ein Ergebnis externe Wirkung hat, folgt vor der Freigabe ein unabhängiger Review.“</w:t>
      </w:r>
    </w:p>
    <w:p>
      <w:pPr>
        <w:spacing w:before="0" w:after="160" w:line="322" w:lineRule="auto"/>
      </w:pPr>
      <w:r>
        <w:rPr>
          <w:rFonts w:ascii="Source Serif 4" w:hAnsi="Source Serif 4" w:eastAsia="Source Serif 4"/>
          <w:b w:val="0"/>
          <w:i w:val="0"/>
          <w:color w:val="1A2334"/>
          <w:sz w:val="22"/>
        </w:rPr>
        <w:t>Unsicherheit ist selbst eine Routingbedingung. Kann die Sensibilität nicht sicher bestimmt werden, wählt der Prozess die engere Zone oder stoppt. Automatisches Routing ist nur dort verantwortbar, wo seine Klassifikation überprüfbar bleibt.</w:t>
      </w:r>
    </w:p>
    <w:p>
      <w:pPr>
        <w:keepNext/>
        <w:spacing w:before="360" w:after="140"/>
      </w:pPr>
      <w:r>
        <w:rPr>
          <w:rFonts w:ascii="Fraunces" w:hAnsi="Fraunces" w:eastAsia="Fraunces"/>
          <w:b/>
          <w:i w:val="0"/>
          <w:color w:val="1A2334"/>
          <w:sz w:val="36"/>
        </w:rPr>
        <w:t>Fallbacks machen Architektur belastbar</w:t>
      </w:r>
    </w:p>
    <w:p>
      <w:pPr>
        <w:spacing w:before="0" w:after="160" w:line="322" w:lineRule="auto"/>
      </w:pPr>
      <w:r>
        <w:rPr>
          <w:rFonts w:ascii="Source Serif 4" w:hAnsi="Source Serif 4" w:eastAsia="Source Serif 4"/>
          <w:b w:val="0"/>
          <w:i w:val="0"/>
          <w:color w:val="1A2334"/>
          <w:sz w:val="22"/>
        </w:rPr>
        <w:t>Eine hybride Architektur darf nicht davon ausgehen, dass jedes Modell und jeder Dienst immer verfügbar ist. Ausfälle, Kapazitätsgrenzen, Kostenänderungen oder Qualitätsprobleme müssen eingeplant werden. Ein Fallback ist dabei nicht einfach das nächste Modell in einer Liste.</w:t>
      </w:r>
    </w:p>
    <w:p>
      <w:pPr>
        <w:spacing w:before="0" w:after="160" w:line="322" w:lineRule="auto"/>
      </w:pPr>
      <w:r>
        <w:rPr>
          <w:rFonts w:ascii="Source Serif 4" w:hAnsi="Source Serif 4" w:eastAsia="Source Serif 4"/>
          <w:b w:val="0"/>
          <w:i w:val="0"/>
          <w:color w:val="1A2334"/>
          <w:sz w:val="22"/>
        </w:rPr>
        <w:t>Der Ersatzpfad muss dieselben Daten- und Wirkungsgrenzen einhalten. Ist ein leistungsfähiger Dienst nicht erreichbar, kann der Prozess eine kleinere lokale Fassung erzeugen, den Umfang reduzieren, eine Warteschlange bilden oder bewusst anhalten. Keine dieser Varianten sollte stillschweigend eine andere Datenzone öffnen.</w:t>
      </w:r>
    </w:p>
    <w:p>
      <w:pPr>
        <w:spacing w:before="0" w:after="160" w:line="322" w:lineRule="auto"/>
      </w:pPr>
      <w:r>
        <w:rPr>
          <w:rFonts w:ascii="Source Serif 4" w:hAnsi="Source Serif 4" w:eastAsia="Source Serif 4"/>
          <w:b w:val="0"/>
          <w:i w:val="0"/>
          <w:color w:val="1A2334"/>
          <w:sz w:val="22"/>
        </w:rPr>
        <w:t>Belastbarkeit bedeutet auch degradierte Betriebsarten. Ein System kann vorübergehend nur klassifizieren statt formulieren, nur Entwürfe statt Veröffentlichungen erzeugen oder nur bereits freigegebene Quellen nutzen. Weniger Funktion ist häufig sicherer als ein unkontrollierter Wechsel.</w:t>
      </w:r>
    </w:p>
    <w:p>
      <w:pPr>
        <w:keepNext/>
        <w:spacing w:before="360" w:after="140"/>
      </w:pPr>
      <w:r>
        <w:rPr>
          <w:rFonts w:ascii="Fraunces" w:hAnsi="Fraunces" w:eastAsia="Fraunces"/>
          <w:b/>
          <w:i w:val="0"/>
          <w:color w:val="1A2334"/>
          <w:sz w:val="36"/>
        </w:rPr>
        <w:t>Portabilität schützt vor versteckter Abhängigkeit</w:t>
      </w:r>
    </w:p>
    <w:p>
      <w:pPr>
        <w:spacing w:before="0" w:after="160" w:line="322" w:lineRule="auto"/>
      </w:pPr>
      <w:r>
        <w:rPr>
          <w:rFonts w:ascii="Source Serif 4" w:hAnsi="Source Serif 4" w:eastAsia="Source Serif 4"/>
          <w:b w:val="0"/>
          <w:i w:val="0"/>
          <w:color w:val="1A2334"/>
          <w:sz w:val="22"/>
        </w:rPr>
        <w:t>Anbieterabhängigkeit entsteht nicht erst bei einem Vertrag. Sie wächst, wenn Prompts, Datenformate, Bewertungsregeln und Arbeitsabläufe nur in einer Oberfläche existieren. Selbst ein technisch austauschbares Modell ist dann praktisch schwer zu ersetzen.</w:t>
      </w:r>
    </w:p>
    <w:p>
      <w:pPr>
        <w:spacing w:before="0" w:after="160" w:line="322" w:lineRule="auto"/>
      </w:pPr>
      <w:r>
        <w:rPr>
          <w:rFonts w:ascii="Source Serif 4" w:hAnsi="Source Serif 4" w:eastAsia="Source Serif 4"/>
          <w:b w:val="0"/>
          <w:i w:val="0"/>
          <w:color w:val="1A2334"/>
          <w:sz w:val="22"/>
        </w:rPr>
        <w:t>Halte deshalb den Kern außerhalb einzelner Systeme: Aufgabenbeschreibung, Kontextmanifest, Datenklassifikation, Prüfkriterien, Testfälle und Outputschema. Adapter übersetzen diesen Kern in die jeweilige Umgebung. Wird ein Modell gewechselt, bleibt der Arbeitsvertrag erhalten und nur der Adapter verändert sich.</w:t>
      </w:r>
    </w:p>
    <w:p>
      <w:pPr>
        <w:spacing w:before="0" w:after="160" w:line="322" w:lineRule="auto"/>
      </w:pPr>
      <w:r>
        <w:rPr>
          <w:rFonts w:ascii="Source Serif 4" w:hAnsi="Source Serif 4" w:eastAsia="Source Serif 4"/>
          <w:b w:val="0"/>
          <w:i w:val="0"/>
          <w:color w:val="1A2334"/>
          <w:sz w:val="22"/>
        </w:rPr>
        <w:t>Portabilität verlangt Tests. Zwei Modelle können denselben Auftrag unterschiedlich interpretieren. Ein Wechsel gilt erst dann als gelungen, wenn definierte Referenzfälle, Sicherheitsgrenzen und Qualitätskriterien erneut erfüllt sind. Austauschbarkeit ist eine geprüfte Fähigkeit, keine Behauptung.</w:t>
      </w:r>
    </w:p>
    <w:p>
      <w:pPr>
        <w:keepNext/>
        <w:spacing w:before="360" w:after="140"/>
      </w:pPr>
      <w:r>
        <w:rPr>
          <w:rFonts w:ascii="Fraunces" w:hAnsi="Fraunces" w:eastAsia="Fraunces"/>
          <w:b/>
          <w:i w:val="0"/>
          <w:color w:val="1A2334"/>
          <w:sz w:val="36"/>
        </w:rPr>
        <w:t>Beobachtbarkeit verbindet die Zonen</w:t>
      </w:r>
    </w:p>
    <w:p>
      <w:pPr>
        <w:spacing w:before="0" w:after="160" w:line="322" w:lineRule="auto"/>
      </w:pPr>
      <w:r>
        <w:rPr>
          <w:rFonts w:ascii="Source Serif 4" w:hAnsi="Source Serif 4" w:eastAsia="Source Serif 4"/>
          <w:b w:val="0"/>
          <w:i w:val="0"/>
          <w:color w:val="1A2334"/>
          <w:sz w:val="22"/>
        </w:rPr>
        <w:t>Wenn Arbeit über mehrere Systeme läuft, braucht sie eine gemeinsame Spur. Welche Datenklasse wurde erkannt? Welcher Pfad wurde gewählt? Welche Bereinigung fand statt? Welches Modell erzeugte welchen Zwischenschritt? Welche Prüfung führte zur Freigabe? Ohne diese Antworten bleibt Hybridität unübersichtliche Verteilung.</w:t>
      </w:r>
    </w:p>
    <w:p>
      <w:pPr>
        <w:spacing w:before="0" w:after="160" w:line="322" w:lineRule="auto"/>
      </w:pPr>
      <w:r>
        <w:rPr>
          <w:rFonts w:ascii="Source Serif 4" w:hAnsi="Source Serif 4" w:eastAsia="Source Serif 4"/>
          <w:b w:val="0"/>
          <w:i w:val="0"/>
          <w:color w:val="1A2334"/>
          <w:sz w:val="22"/>
        </w:rPr>
        <w:t>Die Spur muss nicht jeden internen Gedankenschritt speichern. Sie sollte Entscheidungen und Wirkungen erklären können. Besonders wichtig sind Übergaben, Fallbacks, Ausnahmen und menschliche Freigaben. Sie zeigen, wo die Architektur tatsächlich Verantwortung getragen hat.</w:t>
      </w:r>
    </w:p>
    <w:p>
      <w:pPr>
        <w:spacing w:before="0" w:after="160" w:line="322" w:lineRule="auto"/>
      </w:pPr>
      <w:r>
        <w:rPr>
          <w:rFonts w:ascii="Source Serif 4" w:hAnsi="Source Serif 4" w:eastAsia="Source Serif 4"/>
          <w:b w:val="0"/>
          <w:i w:val="0"/>
          <w:color w:val="1A2334"/>
          <w:sz w:val="22"/>
        </w:rPr>
        <w:t>Eine regelmäßige Auswertung verbessert das Routing. Welche Aufgaben landen unnötig in teuren Umgebungen? Wo wird zu viel Kontext übertragen? Welche lokale Verarbeitung erzeugt zu viel Nacharbeit? So wird die Architektur nicht durch Vermutungen, sondern durch beobachtete Arbeit weiterentwickelt.</w:t>
      </w:r>
    </w:p>
    <w:p>
      <w:pPr>
        <w:keepNext/>
        <w:spacing w:before="360" w:after="140"/>
      </w:pPr>
      <w:r>
        <w:rPr>
          <w:rFonts w:ascii="Fraunces" w:hAnsi="Fraunces" w:eastAsia="Fraunces"/>
          <w:b/>
          <w:i w:val="0"/>
          <w:color w:val="1A2334"/>
          <w:sz w:val="36"/>
        </w:rPr>
        <w:t>Der Mensch gestaltet die Grenze, nicht jede Ausführung</w:t>
      </w:r>
    </w:p>
    <w:p>
      <w:pPr>
        <w:spacing w:before="0" w:after="160" w:line="322" w:lineRule="auto"/>
      </w:pPr>
      <w:r>
        <w:rPr>
          <w:rFonts w:ascii="Source Serif 4" w:hAnsi="Source Serif 4" w:eastAsia="Source Serif 4"/>
          <w:b w:val="0"/>
          <w:i w:val="0"/>
          <w:color w:val="1A2334"/>
          <w:sz w:val="22"/>
        </w:rPr>
        <w:t>Menschen sollen nicht jede Modellwahl einzeln bestätigen. Sie definieren die Regeln, prüfen Grenzfälle und entscheiden über Pfade mit großer Wirkung. Gute Architektur verschiebt menschliche Aufmerksamkeit von Routineentscheidungen zu Ausnahmen, Änderungen und Freigaben.</w:t>
      </w:r>
    </w:p>
    <w:p>
      <w:pPr>
        <w:spacing w:before="0" w:after="160" w:line="322" w:lineRule="auto"/>
      </w:pPr>
      <w:r>
        <w:rPr>
          <w:rFonts w:ascii="Source Serif 4" w:hAnsi="Source Serif 4" w:eastAsia="Source Serif 4"/>
          <w:b w:val="0"/>
          <w:i w:val="0"/>
          <w:color w:val="1A2334"/>
          <w:sz w:val="22"/>
        </w:rPr>
        <w:t>Dafür braucht es klare Zuständigkeiten: Wer klassifiziert Daten? Wer darf Routingregeln ändern? Wer genehmigt eine neue Abhängigkeit? Wer entscheidet bei Qualitätsabfall? Ohne diese Rollen wird ein technischer Router schnell zu einer unsichtbaren Governanceinstanz.</w:t>
      </w:r>
    </w:p>
    <w:p>
      <w:pPr>
        <w:spacing w:before="0" w:after="160" w:line="322" w:lineRule="auto"/>
      </w:pPr>
      <w:r>
        <w:rPr>
          <w:rFonts w:ascii="Source Serif 4" w:hAnsi="Source Serif 4" w:eastAsia="Source Serif 4"/>
          <w:b w:val="0"/>
          <w:i w:val="0"/>
          <w:color w:val="1A2334"/>
          <w:sz w:val="22"/>
        </w:rPr>
        <w:t>Eine souveräne hybride Architektur ist deshalb weder lokal um jeden Preis noch grenzenlos vernetzt. Sie ist die Fähigkeit, Arbeit bewusst zu verteilen, Übergaben klein zu halten, Ergebnisse zu prüfen und jederzeit einen sicheren Rückweg zu besitzen.</w:t>
      </w:r>
    </w:p>
    <w:p>
      <w:pPr>
        <w:keepNext/>
        <w:spacing w:before="360" w:after="140"/>
      </w:pPr>
      <w:r>
        <w:rPr>
          <w:rFonts w:ascii="Fraunces" w:hAnsi="Fraunces" w:eastAsia="Fraunces"/>
          <w:b/>
          <w:i w:val="0"/>
          <w:color w:val="1A2334"/>
          <w:sz w:val="36"/>
        </w:rPr>
        <w:t>Die Routingkarte</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ROUTINGKARTE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**Arbeitsschritt und Wirkung**</w:t>
            </w:r>
          </w:p>
          <w:p>
            <w:pPr>
              <w:spacing w:after="40"/>
            </w:pPr>
            <w:r>
              <w:rPr>
                <w:rFonts w:ascii="IBM Plex Mono" w:hAnsi="IBM Plex Mono" w:eastAsia="IBM Plex Mono"/>
                <w:b w:val="0"/>
                <w:i w:val="0"/>
                <w:color w:val="27334A"/>
                <w:sz w:val="17"/>
              </w:rPr>
              <w:t>Was soll entstehen, welche Folge darf es haben?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**Datenklasse**</w:t>
            </w:r>
          </w:p>
          <w:p>
            <w:pPr>
              <w:spacing w:after="40"/>
            </w:pPr>
            <w:r>
              <w:rPr>
                <w:rFonts w:ascii="IBM Plex Mono" w:hAnsi="IBM Plex Mono" w:eastAsia="IBM Plex Mono"/>
                <w:b w:val="0"/>
                <w:i w:val="0"/>
                <w:color w:val="27334A"/>
                <w:sz w:val="17"/>
              </w:rPr>
              <w:t>Öffentlich, intern, sensibel oder besonders kontrolliert?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**Fähigkeitsbedarf**</w:t>
            </w:r>
          </w:p>
          <w:p>
            <w:pPr>
              <w:spacing w:after="40"/>
            </w:pPr>
            <w:r>
              <w:rPr>
                <w:rFonts w:ascii="IBM Plex Mono" w:hAnsi="IBM Plex Mono" w:eastAsia="IBM Plex Mono"/>
                <w:b w:val="0"/>
                <w:i w:val="0"/>
                <w:color w:val="27334A"/>
                <w:sz w:val="17"/>
              </w:rPr>
              <w:t>Welche Qualität, Modalität, Werkzeuge, Geschwindigkeit und Kontextmenge sind nötig?</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**Zone und Modellrolle**</w:t>
            </w:r>
          </w:p>
          <w:p>
            <w:pPr>
              <w:spacing w:after="40"/>
            </w:pPr>
            <w:r>
              <w:rPr>
                <w:rFonts w:ascii="IBM Plex Mono" w:hAnsi="IBM Plex Mono" w:eastAsia="IBM Plex Mono"/>
                <w:b w:val="0"/>
                <w:i w:val="0"/>
                <w:color w:val="27334A"/>
                <w:sz w:val="17"/>
              </w:rPr>
              <w:t>Wo wird vorverarbeitet, generiert, geprüft und freigegeben?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**Übergabe**</w:t>
            </w:r>
          </w:p>
          <w:p>
            <w:pPr>
              <w:spacing w:after="40"/>
            </w:pPr>
            <w:r>
              <w:rPr>
                <w:rFonts w:ascii="IBM Plex Mono" w:hAnsi="IBM Plex Mono" w:eastAsia="IBM Plex Mono"/>
                <w:b w:val="0"/>
                <w:i w:val="0"/>
                <w:color w:val="27334A"/>
                <w:sz w:val="17"/>
              </w:rPr>
              <w:t>Welche Felder verlassen eine Zone, was wird entfernt oder ersetzt?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**Verifikation**</w:t>
            </w:r>
          </w:p>
          <w:p>
            <w:pPr>
              <w:spacing w:after="40"/>
            </w:pPr>
            <w:r>
              <w:rPr>
                <w:rFonts w:ascii="IBM Plex Mono" w:hAnsi="IBM Plex Mono" w:eastAsia="IBM Plex Mono"/>
                <w:b w:val="0"/>
                <w:i w:val="0"/>
                <w:color w:val="27334A"/>
                <w:sz w:val="17"/>
              </w:rPr>
              <w:t>Wie wird das Ergebnis vor der nächsten Wirkung geprüft?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**Fallback**</w:t>
            </w:r>
          </w:p>
          <w:p>
            <w:pPr>
              <w:spacing w:after="40"/>
            </w:pPr>
            <w:r>
              <w:rPr>
                <w:rFonts w:ascii="IBM Plex Mono" w:hAnsi="IBM Plex Mono" w:eastAsia="IBM Plex Mono"/>
                <w:b w:val="0"/>
                <w:i w:val="0"/>
                <w:color w:val="27334A"/>
                <w:sz w:val="17"/>
              </w:rPr>
              <w:t>Welche sichere Ersatz- oder Reduktionsstufe gilt bei Ausfall?</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**Portabilität**</w:t>
            </w:r>
          </w:p>
          <w:p>
            <w:pPr>
              <w:spacing w:after="40"/>
            </w:pPr>
            <w:r>
              <w:rPr>
                <w:rFonts w:ascii="IBM Plex Mono" w:hAnsi="IBM Plex Mono" w:eastAsia="IBM Plex Mono"/>
                <w:b w:val="0"/>
                <w:i w:val="0"/>
                <w:color w:val="27334A"/>
                <w:sz w:val="17"/>
              </w:rPr>
              <w:t>Welche Standards, Tests und Adapter ermöglichen einen Wechsel?</w:t>
            </w:r>
          </w:p>
        </w:tc>
      </w:tr>
    </w:tbl>
    <w:p>
      <w:pPr>
        <w:spacing w:before="240" w:after="280" w:line="322" w:lineRule="auto"/>
      </w:pPr>
      <w:r>
        <w:rPr>
          <w:rFonts w:ascii="Source Serif 4" w:hAnsi="Source Serif 4" w:eastAsia="Source Serif 4"/>
          <w:b w:val="0"/>
          <w:i w:val="0"/>
          <w:color w:val="1A2334"/>
          <w:sz w:val="22"/>
        </w:rPr>
        <w:t>Die beste hybride Architektur ist nicht die technisch eindrucksvollste. Es ist diejenige, bei der jede Übergabe einen Zweck hat, jedes Modell eine begrenzte Rolle erfüllt und ein Wechsel möglich bleibt, ohne Wissen, Sicherheit oder Arbeitsfähigkeit zu verlieren.</w:t>
      </w:r>
    </w:p>
    <w:p>
      <w:r>
        <w:br w:type="page"/>
      </w:r>
    </w:p>
    <w:p>
      <w:pPr>
        <w:spacing w:after="140"/>
      </w:pPr>
      <w:r>
        <w:rPr>
          <w:rFonts w:ascii="Fraunces" w:hAnsi="Fraunces" w:eastAsia="Fraunces"/>
          <w:b/>
          <w:i w:val="0"/>
          <w:color w:val="1A2334"/>
          <w:sz w:val="50"/>
        </w:rPr>
        <w:t>Übungsblatt: Entwirf einen hybriden Modellpfad</w:t>
      </w:r>
    </w:p>
    <w:p>
      <w:pPr>
        <w:spacing w:before="0" w:after="280" w:line="322" w:lineRule="auto"/>
      </w:pPr>
      <w:r>
        <w:rPr>
          <w:rFonts w:ascii="Source Serif 4" w:hAnsi="Source Serif 4" w:eastAsia="Source Serif 4"/>
          <w:b w:val="0"/>
          <w:i w:val="0"/>
          <w:color w:val="1A2334"/>
          <w:sz w:val="22"/>
        </w:rPr>
        <w:t>Wähle einen realen Prozess mit mindestens drei Arbeitsschritten. Ordne nicht das ganze Projekt einem Modell zu, sondern gestalte einen prüfbaren Pfad.</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Schritte und Wirkung trennen</w:t>
            </w:r>
          </w:p>
          <w:p>
            <w:pPr>
              <w:spacing w:line="300" w:lineRule="auto"/>
            </w:pPr>
            <w:r>
              <w:rPr>
                <w:rFonts w:ascii="Source Serif 4" w:hAnsi="Source Serif 4" w:eastAsia="Source Serif 4"/>
                <w:b w:val="0"/>
                <w:i w:val="0"/>
                <w:color w:val="354159"/>
                <w:sz w:val="21"/>
              </w:rPr>
              <w:t>Zerlege den Prozess in Vorverarbeitung, Generierung, Prüfung und Freigabe. Benenne je Schritt die mögliche Wirkung.</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Daten und Fähigkeiten klassifizieren</w:t>
            </w:r>
          </w:p>
          <w:p>
            <w:pPr>
              <w:spacing w:line="300" w:lineRule="auto"/>
            </w:pPr>
            <w:r>
              <w:rPr>
                <w:rFonts w:ascii="Source Serif 4" w:hAnsi="Source Serif 4" w:eastAsia="Source Serif 4"/>
                <w:b w:val="0"/>
                <w:i w:val="0"/>
                <w:color w:val="354159"/>
                <w:sz w:val="21"/>
              </w:rPr>
              <w:t>Ordne Datenklasse, benötigte Modellfähigkeit, Latenz, Kosten und Verifizierbarkeit zu.</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Zonen und Übergaben entwerfen</w:t>
            </w:r>
          </w:p>
          <w:p>
            <w:pPr>
              <w:spacing w:line="300" w:lineRule="auto"/>
            </w:pPr>
            <w:r>
              <w:rPr>
                <w:rFonts w:ascii="Source Serif 4" w:hAnsi="Source Serif 4" w:eastAsia="Source Serif 4"/>
                <w:b w:val="0"/>
                <w:i w:val="0"/>
                <w:color w:val="354159"/>
                <w:sz w:val="21"/>
              </w:rPr>
              <w:t>Bestimme für jeden Schritt die Zone. Notiere exakt, welche Informationen eine Grenze passieren und wie sie reduziert werden.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Fallback und Degradation planen</w:t>
            </w:r>
          </w:p>
          <w:p>
            <w:pPr>
              <w:spacing w:line="300" w:lineRule="auto"/>
            </w:pPr>
            <w:r>
              <w:rPr>
                <w:rFonts w:ascii="Source Serif 4" w:hAnsi="Source Serif 4" w:eastAsia="Source Serif 4"/>
                <w:b w:val="0"/>
                <w:i w:val="0"/>
                <w:color w:val="354159"/>
                <w:sz w:val="21"/>
              </w:rPr>
              <w:t>Definiere für zwei Ausfälle einen sicheren Ersatz, eine reduzierte Betriebsart oder einen bewussten Stopp.</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Portabilität testen</w:t>
            </w:r>
          </w:p>
          <w:p>
            <w:pPr>
              <w:spacing w:line="300" w:lineRule="auto"/>
            </w:pPr>
            <w:r>
              <w:rPr>
                <w:rFonts w:ascii="Source Serif 4" w:hAnsi="Source Serif 4" w:eastAsia="Source Serif 4"/>
                <w:b w:val="0"/>
                <w:i w:val="0"/>
                <w:color w:val="354159"/>
                <w:sz w:val="21"/>
              </w:rPr>
              <w:t>Formuliere drei Referenzfälle und die Kriterien, die ein alternatives Modell oder ein neuer Adapter erfüllen muss.</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Die Übergabe, bei der ich bisher mehr Daten als nötig weitergegeben habe: 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Der sichere Fallback, der meinem Prozess noch fehlt: 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