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Human-in-the-Loop braucht Entscheidungsgrenzen</w:t>
      </w:r>
    </w:p>
    <w:p>
      <w:pPr>
        <w:spacing w:after="160" w:line="283" w:lineRule="auto"/>
      </w:pPr>
      <w:r>
        <w:rPr>
          <w:rFonts w:ascii="Aptos" w:hAnsi="Aptos"/>
          <w:b w:val="0"/>
          <w:i w:val="0"/>
          <w:color w:val="637087"/>
          <w:sz w:val="25"/>
        </w:rPr>
        <w:t>Warum menschliche Aufsicht nur dann wirksam ist, wenn Zuständigkeit, Evidenz, Zeit, Eskalation und reale Eingriffsmacht zusammenkommen.</w:t>
      </w:r>
    </w:p>
    <w:p>
      <w:pPr>
        <w:spacing w:after="280" w:line="283" w:lineRule="auto"/>
      </w:pPr>
      <w:r>
        <w:rPr>
          <w:rFonts w:ascii="Aptos" w:hAnsi="Aptos"/>
          <w:b/>
          <w:i w:val="0"/>
          <w:color w:val="4F7CFF"/>
          <w:sz w:val="17"/>
        </w:rPr>
        <w:t>ESSAY · KI-DATENENGINEERING · 14 MIN. LESEZEIT  ·  Furkan Sakızlı</w:t>
      </w:r>
    </w:p>
    <w:p>
      <w:pPr>
        <w:spacing w:after="280"/>
        <w:jc w:val="center"/>
      </w:pPr>
      <w:r>
        <w:drawing>
          <wp:inline xmlns:a="http://schemas.openxmlformats.org/drawingml/2006/main" xmlns:pic="http://schemas.openxmlformats.org/drawingml/2006/picture">
            <wp:extent cx="6126480" cy="3447977"/>
            <wp:docPr id="1" name="Picture 1" title="Human-in-the-Loop braucht Entscheidungsgrenzen" descr="Eine helle KI-Pipeline führt an einer zentralen, von einer menschlichen Hand bedienten Kontrollschwelle zu drei echten Pfaden: Freigabe, Eskalation und Stopp."/>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 Mensch prüft das am Ende“ ist kein Kontrollkonzept. Wirksame Aufsicht beginnt dort, wo ein Mensch genügend Information, Zeit und Befugnis besitzt, eine maschinelle Empfehlung tatsächlich zu verändern oder zu stoppen.</w:t>
            </w:r>
          </w:p>
        </w:tc>
      </w:tr>
    </w:tbl>
    <w:p>
      <w:pPr>
        <w:spacing w:after="140" w:line="283" w:lineRule="auto"/>
      </w:pPr>
      <w:r>
        <w:rPr>
          <w:rFonts w:ascii="Aptos" w:hAnsi="Aptos"/>
          <w:b w:val="0"/>
          <w:i w:val="0"/>
          <w:color w:val="1A2334"/>
          <w:sz w:val="21"/>
        </w:rPr>
        <w:t>Human-in-the-Loop klingt wie eine einfache Antwort auf die Risiken automatisierter Entscheidungen. Ein Modell analysiert Daten, erzeugt einen Vorschlag und ein Mensch bestätigt das Ergebnis. Auf einem Prozessdiagramm erscheint damit Verantwortung eingebaut.</w:t>
      </w:r>
    </w:p>
    <w:p>
      <w:pPr>
        <w:spacing w:after="140" w:line="283" w:lineRule="auto"/>
      </w:pPr>
      <w:r>
        <w:rPr>
          <w:rFonts w:ascii="Aptos" w:hAnsi="Aptos"/>
          <w:b w:val="0"/>
          <w:i w:val="0"/>
          <w:color w:val="1A2334"/>
          <w:sz w:val="21"/>
        </w:rPr>
        <w:t>In der Praxis kann diese Kontrolle vollkommen leer sein. Die prüfende Person sieht nur eine Ampel, muss hunderte Fälle pro Stunde bearbeiten, kennt die Herkunft der Daten nicht oder kann lediglich „Bestätigen“ anklicken. Vielleicht darf sie widersprechen, muss dafür aber einen komplizierten Sonderweg nehmen. Vielleicht erfolgt die Freigabe erst, nachdem ein irreversibler Schritt bereits ausgelöst wurde. Ein Mensch in der Oberfläche ist noch kein Mensch mit Kontrolle.</w:t>
      </w:r>
    </w:p>
    <w:p>
      <w:pPr>
        <w:keepNext/>
        <w:spacing w:before="320" w:after="120"/>
      </w:pPr>
      <w:r>
        <w:rPr>
          <w:rFonts w:ascii="Georgia" w:hAnsi="Georgia"/>
          <w:b/>
          <w:i w:val="0"/>
          <w:color w:val="1A2334"/>
          <w:sz w:val="32"/>
        </w:rPr>
        <w:t>Aufsicht ist eine Systemfähigkeit</w:t>
      </w:r>
    </w:p>
    <w:p>
      <w:pPr>
        <w:spacing w:after="140" w:line="283" w:lineRule="auto"/>
      </w:pPr>
      <w:r>
        <w:rPr>
          <w:rFonts w:ascii="Aptos" w:hAnsi="Aptos"/>
          <w:b w:val="0"/>
          <w:i w:val="0"/>
          <w:color w:val="1A2334"/>
          <w:sz w:val="21"/>
        </w:rPr>
        <w:t>Wirksame Aufsicht entsteht nicht durch eine Rolle am Ende der Pipeline. Sie ist eine gemeinsame Eigenschaft von Prozess, Daten, Benutzeroberfläche, Berechtigung, Organisation und Monitoring. Fünf Fragen entscheiden über ihre Substanz:</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**Wissen:** Sieht die Person Eingabe, Quellen, Regeln, Unsicherheit und Alternativen?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**Kompetenz:** Kann sie fachliche, technische und gegebenenfalls rechtliche Folgen beurteilen?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**Zeit:** Reicht die Bearbeitungszeit für echte Prüfung statt reflexhafter Bestätigung?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**Befugnis:** Darf sie ändern, ablehnen, eskalieren und den Prozess stoppen?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**Wirkung:** Greift ihre Intervention vor dem folgenreichen Schritt und wird sie umgesetzt?</w:t>
            </w:r>
          </w:p>
        </w:tc>
      </w:tr>
    </w:tbl>
    <w:p>
      <w:pPr>
        <w:spacing w:after="140" w:line="283" w:lineRule="auto"/>
      </w:pPr>
      <w:r>
        <w:rPr>
          <w:rFonts w:ascii="Aptos" w:hAnsi="Aptos"/>
          <w:b w:val="0"/>
          <w:i w:val="0"/>
          <w:color w:val="1A2334"/>
          <w:sz w:val="21"/>
        </w:rPr>
        <w:t>Fehlt nur eine dieser Bedingungen, kann menschliche Beteiligung zur Fassade werden. Besonders gefährlich ist nominelle Verantwortung ohne reale Befugnis: Der Mensch trägt die Konsequenzen, obwohl das System seine Handlungsmöglichkeiten vorstrukturiert oder praktisch blockiert.</w:t>
      </w:r>
    </w:p>
    <w:p>
      <w:pPr>
        <w:keepNext/>
        <w:spacing w:before="320" w:after="120"/>
      </w:pPr>
      <w:r>
        <w:rPr>
          <w:rFonts w:ascii="Georgia" w:hAnsi="Georgia"/>
          <w:b/>
          <w:i w:val="0"/>
          <w:color w:val="1A2334"/>
          <w:sz w:val="32"/>
        </w:rPr>
        <w:t>Die Entscheidungsgrenze wird vor dem Modelloutput definiert</w:t>
      </w:r>
    </w:p>
    <w:p>
      <w:pPr>
        <w:spacing w:after="140" w:line="283" w:lineRule="auto"/>
      </w:pPr>
      <w:r>
        <w:rPr>
          <w:rFonts w:ascii="Aptos" w:hAnsi="Aptos"/>
          <w:b w:val="0"/>
          <w:i w:val="0"/>
          <w:color w:val="1A2334"/>
          <w:sz w:val="21"/>
        </w:rPr>
        <w:t>Nicht jeder Fall braucht dieselbe Aufsicht. Eine Rechtschreibkorrektur, die ein Nutzer sofort zurücknehmen kann, unterscheidet sich von einer Empfehlung über Kredit, Beschäftigung, medizinische Behandlung oder Zugang zu Bildung. Die Kontrolltiefe folgt dem möglichen Schaden, der Reversibilität und dem Kontext.</w:t>
      </w:r>
    </w:p>
    <w:p>
      <w:pPr>
        <w:spacing w:after="140" w:line="283" w:lineRule="auto"/>
      </w:pPr>
      <w:r>
        <w:rPr>
          <w:rFonts w:ascii="Aptos" w:hAnsi="Aptos"/>
          <w:b w:val="0"/>
          <w:i w:val="0"/>
          <w:color w:val="1A2334"/>
          <w:sz w:val="21"/>
        </w:rPr>
        <w:t>Eine Entscheidungsgrenze beschreibt, wann Automatisierung nicht still weiterlaufen darf. Sie kann durch mehrere Signale ausgelöst werden: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hohe Wirkung oder geringe Reversibilität;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fehlende, widersprüchliche oder veraltete Evidenz;</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sensible Daten oder besonders schutzbedürftige Personen;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unbekannte Fallkonstellation, Ausreißer oder Verteilungssprung;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Konflikt zwischen Regeln, Modelloutput und menschlicher Eingabe;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fehlende Zuständigkeit oder unklare Rechtsgrundlage;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ungewöhnlich hohe Unsicherheit oder schlechte Kalibrierung;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eine Aktion außerhalb des erlaubten Zweckes.</w:t>
      </w:r>
    </w:p>
    <w:p>
      <w:pPr>
        <w:spacing w:after="140" w:line="283" w:lineRule="auto"/>
      </w:pPr>
      <w:r>
        <w:rPr>
          <w:rFonts w:ascii="Aptos" w:hAnsi="Aptos"/>
          <w:b w:val="0"/>
          <w:i w:val="0"/>
          <w:color w:val="1A2334"/>
          <w:sz w:val="21"/>
        </w:rPr>
        <w:t>Eine einzelne Konfidenzzahl ist dafür ungeeignet. Modellwahrscheinlichkeit kann falsch kalibriert sein und sagt nichts über Vollständigkeit des Datenbestands, Zulässigkeit der Verarbeitung oder Schwere eines Fehlers. Die Grenze sollte mehrere Signale und eine Risikoklasse verbinden.</w:t>
      </w:r>
    </w:p>
    <w:p>
      <w:pPr>
        <w:keepNext/>
        <w:spacing w:before="320" w:after="120"/>
      </w:pPr>
      <w:r>
        <w:rPr>
          <w:rFonts w:ascii="Georgia" w:hAnsi="Georgia"/>
          <w:b/>
          <w:i w:val="0"/>
          <w:color w:val="1A2334"/>
          <w:sz w:val="32"/>
        </w:rPr>
        <w:t>Fünf Betriebszustände statt eines Freigabeknopfs</w:t>
      </w:r>
    </w:p>
    <w:p>
      <w:pPr>
        <w:spacing w:after="140" w:line="283" w:lineRule="auto"/>
      </w:pPr>
      <w:r>
        <w:rPr>
          <w:rFonts w:ascii="Aptos" w:hAnsi="Aptos"/>
          <w:b w:val="0"/>
          <w:i w:val="0"/>
          <w:color w:val="1A2334"/>
          <w:sz w:val="21"/>
        </w:rPr>
        <w:t>Ein kontrollierbares System unterscheidet mindestens fünf Zustände. **Assistieren** bedeutet, Informationen aufzubereiten, ohne eine Entscheidung vorzugeben. **Empfehlen** liefert eine Option, die der Mensch unabhängig bewerten muss. **Freigeben** verlangt aktive Prüfung vor Ausführung. **Eskalieren** übergibt Fälle an eine höher qualifizierte oder anders befugte Rolle. **Stoppen** verhindert weitere Verarbeitung oder Wirkung.</w:t>
      </w:r>
    </w:p>
    <w:p>
      <w:pPr>
        <w:spacing w:after="140" w:line="283" w:lineRule="auto"/>
      </w:pPr>
      <w:r>
        <w:rPr>
          <w:rFonts w:ascii="Aptos" w:hAnsi="Aptos"/>
          <w:b w:val="0"/>
          <w:i w:val="0"/>
          <w:color w:val="1A2334"/>
          <w:sz w:val="21"/>
        </w:rPr>
        <w:t>Für jeden Zustand werden Auslöser, Eigentümer, maximale Wartezeit und zulässige Folgeaktionen definiert. Ein Stop ohne erreichbaren Verantwortlichen ist ebenso unvollständig wie eine Eskalation ohne Frist. Das System braucht außerdem einen sicheren Standardzustand: Wenn Daten fehlen, Dienste ausfallen oder Zuständigkeit unklar ist, darf es nicht automatisch in die risikoreichste Richtung weiterlaufen.</w:t>
      </w:r>
    </w:p>
    <w:p>
      <w:pPr>
        <w:spacing w:after="140" w:line="283" w:lineRule="auto"/>
      </w:pPr>
      <w:r>
        <w:rPr>
          <w:rFonts w:ascii="Aptos" w:hAnsi="Aptos"/>
          <w:b w:val="0"/>
          <w:i w:val="0"/>
          <w:color w:val="1A2334"/>
          <w:sz w:val="21"/>
        </w:rPr>
        <w:t>Entscheidungsrechte werden konkret formuliert. Wer darf eine Empfehlung korrigieren? Wer kann eine Regel ausnahmsweise überstimmen? Wer darf nur pausieren, wer endgültig ablehnen? Wann ist ein Vier-Augen-Prinzip nötig? Welche Änderungen verlangen eine neue Modell- oder Richtlinienfreigabe? So wird Verantwortung prüfbar statt rhetorisch.</w:t>
      </w:r>
    </w:p>
    <w:p>
      <w:pPr>
        <w:keepNext/>
        <w:spacing w:before="320" w:after="120"/>
      </w:pPr>
      <w:r>
        <w:rPr>
          <w:rFonts w:ascii="Georgia" w:hAnsi="Georgia"/>
          <w:b/>
          <w:i w:val="0"/>
          <w:color w:val="1A2334"/>
          <w:sz w:val="32"/>
        </w:rPr>
        <w:t>Der Mensch braucht eine Prüfakte, keine Behauptung</w:t>
      </w:r>
    </w:p>
    <w:p>
      <w:pPr>
        <w:spacing w:after="140" w:line="283" w:lineRule="auto"/>
      </w:pPr>
      <w:r>
        <w:rPr>
          <w:rFonts w:ascii="Aptos" w:hAnsi="Aptos"/>
          <w:b w:val="0"/>
          <w:i w:val="0"/>
          <w:color w:val="1A2334"/>
          <w:sz w:val="21"/>
        </w:rPr>
        <w:t>Eine Aufsichtsperson kann nur beurteilen, was sichtbar ist. Eine brauchbare Prüfakte enthält den ursprünglichen Auftrag, verwendete Daten, relevante Quellenpassagen, vorgeschlagene Entscheidung, angewandte Regeln, bekannte Lücken, plausible Alternativen und die Konsequenz jeder Option. Sie trennt Fakten, Modellausgabe und abgeleitete Interpretation.</w:t>
      </w:r>
    </w:p>
    <w:p>
      <w:pPr>
        <w:spacing w:after="140" w:line="283" w:lineRule="auto"/>
      </w:pPr>
      <w:r>
        <w:rPr>
          <w:rFonts w:ascii="Aptos" w:hAnsi="Aptos"/>
          <w:b w:val="0"/>
          <w:i w:val="0"/>
          <w:color w:val="1A2334"/>
          <w:sz w:val="21"/>
        </w:rPr>
        <w:t>Erklärungen müssen auf die Aufgabe zugeschnitten sein. Ein Feature-Importance-Diagramm beantwortet nicht automatisch, ob die Daten korrekt oder die Entscheidung zulässig sind. Ein langer Begründungstext kann Sicherheit simulieren, obwohl er selbst generiert wurde. Quellen und Regelreferenzen sind überprüfbarer als sprachliche Selbstrechtfertigungen des Modells.</w:t>
      </w:r>
    </w:p>
    <w:p>
      <w:pPr>
        <w:spacing w:after="140" w:line="283" w:lineRule="auto"/>
      </w:pPr>
      <w:r>
        <w:rPr>
          <w:rFonts w:ascii="Aptos" w:hAnsi="Aptos"/>
          <w:b w:val="0"/>
          <w:i w:val="0"/>
          <w:color w:val="1A2334"/>
          <w:sz w:val="21"/>
        </w:rPr>
        <w:t>Auch die Reihenfolge zählt. Wer zuerst eine überzeugende Empfehlung sieht, wird geankert. Bei kritischen Aufgaben kann eine unabhängige Erstbewertung sinnvoll sein: Die Fachperson prüft Kerninformationen, bevor der Modellvorschlag sichtbar wird. Andere Fälle profitieren von Gegenbelegen, Alternativen oder einer Pflicht, den entscheidenden Grund für Freigabe und Ablehnung festzuhalten.</w:t>
      </w:r>
    </w:p>
    <w:p>
      <w:pPr>
        <w:keepNext/>
        <w:spacing w:before="320" w:after="120"/>
      </w:pPr>
      <w:r>
        <w:rPr>
          <w:rFonts w:ascii="Georgia" w:hAnsi="Georgia"/>
          <w:b/>
          <w:i w:val="0"/>
          <w:color w:val="1A2334"/>
          <w:sz w:val="32"/>
        </w:rPr>
        <w:t>Automation Bias verschwindet nicht durch Schulung</w:t>
      </w:r>
    </w:p>
    <w:p>
      <w:pPr>
        <w:spacing w:after="140" w:line="283" w:lineRule="auto"/>
      </w:pPr>
      <w:r>
        <w:rPr>
          <w:rFonts w:ascii="Aptos" w:hAnsi="Aptos"/>
          <w:b w:val="0"/>
          <w:i w:val="0"/>
          <w:color w:val="1A2334"/>
          <w:sz w:val="21"/>
        </w:rPr>
        <w:t>Automation Bias bezeichnet nicht bloß blindes Vertrauen. Menschen können Warnsignale übersehen, weil ein System keinen Alarm ausgibt, oder eine falsche Empfehlung ausführen, weil sie professionell präsentiert wird. Forschung zeigt, dass solche Auslassungs- und Ausführungsfehler auch bei erfahrenen Personen auftreten können. Hohe Aufgabenlast und seltene Abweichungen verschärfen die Aufmerksamkeitsprobleme.</w:t>
      </w:r>
    </w:p>
    <w:p>
      <w:pPr>
        <w:spacing w:after="140" w:line="283" w:lineRule="auto"/>
      </w:pPr>
      <w:r>
        <w:rPr>
          <w:rFonts w:ascii="Aptos" w:hAnsi="Aptos"/>
          <w:b w:val="0"/>
          <w:i w:val="0"/>
          <w:color w:val="1A2334"/>
          <w:sz w:val="21"/>
        </w:rPr>
        <w:t>Eine kurze Schulung genügt deshalb nicht. Kontrollmechanismen müssen in den Arbeitsablauf eingebaut werden: unabhängige Stichproben, absichtlich zurückgehaltene Modellvorschläge, Gegenbeispiele, Pflichtfelder für kritische Begründungen, wechselnde Reviewer, Qualitätszeit statt bloßer Durchsatzvorgaben und Tests mit bewusst falschen Empfehlungen.</w:t>
      </w:r>
    </w:p>
    <w:p>
      <w:pPr>
        <w:spacing w:after="140" w:line="283" w:lineRule="auto"/>
      </w:pPr>
      <w:r>
        <w:rPr>
          <w:rFonts w:ascii="Aptos" w:hAnsi="Aptos"/>
          <w:b w:val="0"/>
          <w:i w:val="0"/>
          <w:color w:val="1A2334"/>
          <w:sz w:val="21"/>
        </w:rPr>
        <w:t>Auch Erklärungen sind kein universelles Gegenmittel. Untersuchungen zu kognitiven Forcing-Funktionen zeigen, dass bewusst verlangsamende Interaktionen Übervertrauen reduzieren können, aber Aufwand, Nutzerzufriedenheit und Wirkung je nach Person und Aufgabe variieren. Gute Aufsicht optimiert daher nicht nur Bequemlichkeit. Sie misst, ob Menschen das System angemessen nutzen: richtige Empfehlungen übernehmen, falsche erkennen und Unsicherheit eskalieren.</w:t>
      </w:r>
    </w:p>
    <w:p>
      <w:pPr>
        <w:keepNext/>
        <w:spacing w:before="320" w:after="120"/>
      </w:pPr>
      <w:r>
        <w:rPr>
          <w:rFonts w:ascii="Georgia" w:hAnsi="Georgia"/>
          <w:b/>
          <w:i w:val="0"/>
          <w:color w:val="1A2334"/>
          <w:sz w:val="32"/>
        </w:rPr>
        <w:t>Zeitbudget und Fallmenge gehören zur Sicherheitsarchitektur</w:t>
      </w:r>
    </w:p>
    <w:p>
      <w:pPr>
        <w:spacing w:after="140" w:line="283" w:lineRule="auto"/>
      </w:pPr>
      <w:r>
        <w:rPr>
          <w:rFonts w:ascii="Aptos" w:hAnsi="Aptos"/>
          <w:b w:val="0"/>
          <w:i w:val="0"/>
          <w:color w:val="1A2334"/>
          <w:sz w:val="21"/>
        </w:rPr>
        <w:t>Eine Organisation kann ein gutes Interface durch unrealistische Kennzahlen zerstören. Wer pro Minute mehrere komplexe Fälle abschließen muss, wird zum Bestätigungsmechanismus. Die erwartete Prüftiefe muss zum Zeitbudget passen. Seltene Hochrisikofälle brauchen Reserven, Rückfragen und Zugang zu Fachkompetenz.</w:t>
      </w:r>
    </w:p>
    <w:p>
      <w:pPr>
        <w:spacing w:after="140" w:line="283" w:lineRule="auto"/>
      </w:pPr>
      <w:r>
        <w:rPr>
          <w:rFonts w:ascii="Aptos" w:hAnsi="Aptos"/>
          <w:b w:val="0"/>
          <w:i w:val="0"/>
          <w:color w:val="1A2334"/>
          <w:sz w:val="21"/>
        </w:rPr>
        <w:t>Arbeitslast wird deshalb wie eine technische Kapazität geplant. Zu beobachten sind Warteschlangen, Bearbeitungszeiten, Abbruchraten, Eskalationsstaus und der Anteil ungeprüfter Standardfreigaben. Steigt die Last, muss das System Fälle priorisieren, Funktionen begrenzen oder in einen sicheren Modus wechseln. Qualitätsanforderungen dürfen nicht automatisch sinken.</w:t>
      </w:r>
    </w:p>
    <w:p>
      <w:pPr>
        <w:spacing w:after="140" w:line="283" w:lineRule="auto"/>
      </w:pPr>
      <w:r>
        <w:rPr>
          <w:rFonts w:ascii="Aptos" w:hAnsi="Aptos"/>
          <w:b w:val="0"/>
          <w:i w:val="0"/>
          <w:color w:val="1A2334"/>
          <w:sz w:val="21"/>
        </w:rPr>
        <w:t>Kompetenz ist ebenfalls fallbezogen. Eine allgemeine KI-Schulung ersetzt kein Fachwissen. Die Person muss den Anwendungsbereich, typische Modellgrenzen, relevante Datenfehler und ihre Befugnisse kennen. Bei multidisziplinären Entscheidungen kann keine Einzelperson alles abdecken; dann wird Aufsicht als Teamprozess mit klaren Übergaben gestaltet.</w:t>
      </w:r>
    </w:p>
    <w:p>
      <w:pPr>
        <w:keepNext/>
        <w:spacing w:before="320" w:after="120"/>
      </w:pPr>
      <w:r>
        <w:rPr>
          <w:rFonts w:ascii="Georgia" w:hAnsi="Georgia"/>
          <w:b/>
          <w:i w:val="0"/>
          <w:color w:val="1A2334"/>
          <w:sz w:val="32"/>
        </w:rPr>
        <w:t>Protokollierung muss Entscheidung und Einfluss rekonstruieren</w:t>
      </w:r>
    </w:p>
    <w:p>
      <w:pPr>
        <w:spacing w:after="140" w:line="283" w:lineRule="auto"/>
      </w:pPr>
      <w:r>
        <w:rPr>
          <w:rFonts w:ascii="Aptos" w:hAnsi="Aptos"/>
          <w:b w:val="0"/>
          <w:i w:val="0"/>
          <w:color w:val="1A2334"/>
          <w:sz w:val="21"/>
        </w:rPr>
        <w:t>Ein Audit-Log sollte nicht nur „Mensch hat bestätigt“ speichern. Es dokumentiert Modellvorschlag, sichtbare Evidenz, Systemversion, Entscheidung, Änderungen, Begründung, Zeitpunkt, Rolle und ausgeführte Folgeaktion. Entscheidend ist die Reihenfolge: Wurde die menschliche Einschätzung vor oder nach Sichtbarkeit der Empfehlung abgegeben? Konnte der Mensch den Schritt noch stoppen?</w:t>
      </w:r>
    </w:p>
    <w:p>
      <w:pPr>
        <w:spacing w:after="140" w:line="283" w:lineRule="auto"/>
      </w:pPr>
      <w:r>
        <w:rPr>
          <w:rFonts w:ascii="Aptos" w:hAnsi="Aptos"/>
          <w:b w:val="0"/>
          <w:i w:val="0"/>
          <w:color w:val="1A2334"/>
          <w:sz w:val="21"/>
        </w:rPr>
        <w:t>Diese Daten ermöglichen Qualitätslernen. Wo werden Vorschläge häufig korrigiert? Welche Gruppen oder Falltypen werden überproportional eskaliert? Welche Begründungen fehlen? Wo wird ein Stop umgangen? Gleichzeitig darf Monitoring nicht in pauschale Leistungsüberwachung der Beschäftigten kippen. Zweckbindung, Zugriffsschutz, Aufbewahrungsfristen und aggregierte Analyse gehören in das Konzept.</w:t>
      </w:r>
    </w:p>
    <w:p>
      <w:pPr>
        <w:spacing w:after="140" w:line="283" w:lineRule="auto"/>
      </w:pPr>
      <w:r>
        <w:rPr>
          <w:rFonts w:ascii="Aptos" w:hAnsi="Aptos"/>
          <w:b w:val="0"/>
          <w:i w:val="0"/>
          <w:color w:val="1A2334"/>
          <w:sz w:val="21"/>
        </w:rPr>
        <w:t>Korrekturen fließen nicht ungeprüft als neue Wahrheit in Training oder Wissensbasis. Auch Menschen irren, folgen lokalen Gewohnheiten oder handeln unter Druck. Feedback wird qualifiziert, auf Konflikte geprüft, versioniert und erst nach Freigabe als Lernsignal verwendet.</w:t>
      </w:r>
    </w:p>
    <w:p>
      <w:pPr>
        <w:keepNext/>
        <w:spacing w:before="320" w:after="120"/>
      </w:pPr>
      <w:r>
        <w:rPr>
          <w:rFonts w:ascii="Georgia" w:hAnsi="Georgia"/>
          <w:b/>
          <w:i w:val="0"/>
          <w:color w:val="1A2334"/>
          <w:sz w:val="32"/>
        </w:rPr>
        <w:t>Aufsicht braucht Widerspruch und Rechtsbehelf</w:t>
      </w:r>
    </w:p>
    <w:p>
      <w:pPr>
        <w:spacing w:after="140" w:line="283" w:lineRule="auto"/>
      </w:pPr>
      <w:r>
        <w:rPr>
          <w:rFonts w:ascii="Aptos" w:hAnsi="Aptos"/>
          <w:b w:val="0"/>
          <w:i w:val="0"/>
          <w:color w:val="1A2334"/>
          <w:sz w:val="21"/>
        </w:rPr>
        <w:t>Die betroffene Person ist nicht identisch mit dem internen Reviewer. Bei folgenreichen Entscheidungen braucht sie gegebenenfalls Information, die Möglichkeit zur Stellungnahme und einen erreichbaren Weg, das Ergebnis anzufechten. Ein interner Klick ersetzt keine verständliche Begründung oder unabhängige Überprüfung.</w:t>
      </w:r>
    </w:p>
    <w:p>
      <w:pPr>
        <w:spacing w:after="140" w:line="283" w:lineRule="auto"/>
      </w:pPr>
      <w:r>
        <w:rPr>
          <w:rFonts w:ascii="Aptos" w:hAnsi="Aptos"/>
          <w:b w:val="0"/>
          <w:i w:val="0"/>
          <w:color w:val="1A2334"/>
          <w:sz w:val="21"/>
        </w:rPr>
        <w:t>Hier müssen Rechtsregime sauber getrennt werden. Artikel 14 des EU AI Act beschreibt menschliche Aufsicht für Hochrisiko-KI-Systeme und verlangt risikogerechte Möglichkeiten, Grenzen zu verstehen, Automation Bias zu berücksichtigen, Ausgaben zu ignorieren oder zu überstimmen und das System gegebenenfalls zu stoppen. Die Anwendung ist gestaffelt und muss anhand des aktuellen Rechtsstands geprüft werden.</w:t>
      </w:r>
    </w:p>
    <w:p>
      <w:pPr>
        <w:spacing w:after="140" w:line="283" w:lineRule="auto"/>
      </w:pPr>
      <w:r>
        <w:rPr>
          <w:rFonts w:ascii="Aptos" w:hAnsi="Aptos"/>
          <w:b w:val="0"/>
          <w:i w:val="0"/>
          <w:color w:val="1A2334"/>
          <w:sz w:val="21"/>
        </w:rPr>
        <w:t>Artikel 22 DSGVO betrifft dagegen bestimmte Entscheidungen, die ausschließlich auf automatisierter Verarbeitung beruhen und rechtliche oder ähnlich erhebliche Wirkungen entfalten. Die dort geregelten Ausnahmen und Schutzmaßnahmen, darunter menschliches Eingreifen, sind kein Synonym für jede Form von Human-in-the-Loop. Eine nominelle menschliche Unterschrift macht einen faktisch automatisierten Prozess nicht automatisch unproblematisch.</w:t>
      </w:r>
    </w:p>
    <w:p>
      <w:pPr>
        <w:keepNext/>
        <w:spacing w:before="320" w:after="120"/>
      </w:pPr>
      <w:r>
        <w:rPr>
          <w:rFonts w:ascii="Georgia" w:hAnsi="Georgia"/>
          <w:b/>
          <w:i w:val="0"/>
          <w:color w:val="1A2334"/>
          <w:sz w:val="32"/>
        </w:rPr>
        <w:t>Aufsicht muss selbst evaluiert werden</w:t>
      </w:r>
    </w:p>
    <w:p>
      <w:pPr>
        <w:spacing w:after="140" w:line="283" w:lineRule="auto"/>
      </w:pPr>
      <w:r>
        <w:rPr>
          <w:rFonts w:ascii="Aptos" w:hAnsi="Aptos"/>
          <w:b w:val="0"/>
          <w:i w:val="0"/>
          <w:color w:val="1A2334"/>
          <w:sz w:val="21"/>
        </w:rPr>
        <w:t>Modellgenauigkeit allein sagt nicht, ob das Gesamtsystem sicherer wird. Evaluation betrachtet das Team aus Mensch, Modell und Prozess. Relevante Kennzahlen sind etwa: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Anteil richtig erkannter Modellfehler;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Anteil fälschlich überstimmter korrekter Vorschläge;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Eskalationspräzision und übersehene Grenzfälle;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Zeit bis Stop oder Korrektur;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Ergebnisqualität nach menschlicher Prüfung;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Unterschiede zwischen Fallgruppen und Rollen;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Überstimmungs-, Bestätigungs- und Rücknahmeraten;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Qualität und Vollständigkeit der Begründungen.</w:t>
      </w:r>
    </w:p>
    <w:p>
      <w:pPr>
        <w:spacing w:after="140" w:line="283" w:lineRule="auto"/>
      </w:pPr>
      <w:r>
        <w:rPr>
          <w:rFonts w:ascii="Aptos" w:hAnsi="Aptos"/>
          <w:b w:val="0"/>
          <w:i w:val="0"/>
          <w:color w:val="1A2334"/>
          <w:sz w:val="21"/>
        </w:rPr>
        <w:t>Tests enthalten korrekte, falsche, übermäßig sichere, widersprüchliche und unbeantwortbare Modellvorschläge. Sie variieren Zeitdruck, Informationsmenge und Fallhäufigkeit. Erst so wird sichtbar, ob die Aufsicht unter realistischen Bedingungen funktioniert oder nur in einer Demonstration.</w:t>
      </w:r>
    </w:p>
    <w:p>
      <w:pPr>
        <w:spacing w:after="140" w:line="283" w:lineRule="auto"/>
      </w:pPr>
      <w:r>
        <w:rPr>
          <w:rFonts w:ascii="Aptos" w:hAnsi="Aptos"/>
          <w:b w:val="0"/>
          <w:i w:val="0"/>
          <w:color w:val="1A2334"/>
          <w:sz w:val="21"/>
        </w:rPr>
        <w:t>Human-in-the-Loop ist damit keine Station, sondern eine Kontrollarchitektur. Ihre Qualität zeigt sich nicht daran, dass ein Mensch irgendwo klickt. Sie zeigt sich daran, dass das System früh genug stoppt, die richtige Person die entscheidenden Informationen erhält und ihre begründete Intervention den Ausgang tatsächlich verändert.</w:t>
      </w:r>
    </w:p>
    <w:p>
      <w:pPr>
        <w:keepNext/>
        <w:spacing w:before="320" w:after="120"/>
      </w:pPr>
      <w:r>
        <w:rPr>
          <w:rFonts w:ascii="Georgia" w:hAnsi="Georgia"/>
          <w:b/>
          <w:i w:val="0"/>
          <w:color w:val="1A2334"/>
          <w:sz w:val="32"/>
        </w:rPr>
        <w:t>Übungsblatt: Entwirf eine echte Entscheidungsgrenze</w:t>
      </w:r>
    </w:p>
    <w:p>
      <w:pPr>
        <w:spacing w:after="140" w:line="283" w:lineRule="auto"/>
      </w:pPr>
      <w:r>
        <w:rPr>
          <w:rFonts w:ascii="Aptos" w:hAnsi="Aptos"/>
          <w:b w:val="0"/>
          <w:i w:val="0"/>
          <w:color w:val="1A2334"/>
          <w:sz w:val="21"/>
        </w:rPr>
        <w:t>Wähle einen KI-gestützten Prozess mit spürbaren Folgen und bearbeite acht Schritte.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**Wirkung klassifizieren:** Beschreibe Schaden, Betroffene, Reversibilität und zeitliche Dringlichkeit.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**Zustände festlegen:** Trenne Assistieren, Empfehlen, Freigeben, Eskalieren und Stoppen.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**Grenzsignale definieren:** Nutze Evidenzlücken, Konflikte, Sensitivität, Neuheit, Unsicherheit und Zweckabweichung.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**Entscheidungsrechte vergeben:** Benenne Rolle, Befugnis, Stellvertretung und Vier-Augen-Fälle.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**Prüfakte bauen:** Zeige Daten, Quellen, Regeln, Alternativen, Unsicherheit und Folgen.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**Automation Bias testen:** Setze falsche Empfehlungen, fehlende Warnungen und Zeitdruck in Tests ein.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**Widerspruch ermöglichen:** Definiere Korrektur, Eskalation, Betroffeneninformation und Anfechtung.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**Wirksamkeit messen:** Lege Kennzahlen, Regressionstests und Review-Zyklus fest.</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An welcher Stelle besitzt der Mensch heute nur Verantwortung, aber keine reale Kontrolle? ____________________</w:t>
      </w:r>
    </w:p>
    <w:p>
      <w:pPr>
        <w:spacing w:after="140" w:line="283" w:lineRule="auto"/>
      </w:pPr>
      <w:r>
        <w:rPr>
          <w:rFonts w:ascii="Aptos" w:hAnsi="Aptos"/>
          <w:b w:val="0"/>
          <w:i w:val="0"/>
          <w:color w:val="1A2334"/>
          <w:sz w:val="21"/>
        </w:rPr>
        <w:t>Welches Signal muss den Prozess zwingend stoppen, statt nur eine Warnung anzuzeigen? 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[Verordnung (EU) 2024/1689, Artikel 14](https://eur-lex.europa.eu/eli/reg/2024/1689/oj/eng) – Anforderungen an wirksame menschliche Aufsicht bei Hochrisiko-KI-Systemen, einschließlich Verständnis von Grenzen, Bewusstsein für Automation Bias sowie der Möglichkeit, Ausgaben zu ignorieren, zu überstimmen oder das System zu stoppen.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[EU-Kommission: Navigation und Zeitplan des AI Act](https://digital-strategy.ec.europa.eu/en/faqs/navigating-ai-act) – offizielle Übersicht zur gestaffelten Anwendbarkeit; aktuelle Übergangsregeln und Gesetzesänderungen müssen für konkrete Projekte gesondert geprüft werden.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[DSGVO, Artikel 22](https://eur-lex.europa.eu/legal-content/EN/TXT/?toc=OJ%3AL%3A2016%3A119%3ATOC&amp;uri=uriserv%3AOJ.L_.2016.119.01.0001.01.ENG) – Schutz vor bestimmten ausschließlich automatisierten Einzelentscheidungen mit rechtlicher oder ähnlich erheblicher Wirkung sowie Rechte auf menschliches Eingreifen in den geregelten Ausnahmefällen.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risikobasierter Rahmen mit den Funktionen Govern, Map, Measure und Manage.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ergänzende Orientierung für Risiken generativer KI über den Lebenszyklus.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[Parasuraman &amp; Manzey: Complacency and Bias in Human Use of Automation](https://doi.org/10.1177/0018720810376055) – Review zu Automation Complacency, Automation Bias sowie Auslassungs- und Ausführungsfehlern.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[Buçinca, Malaya &amp; Gajos: To Trust or to Think](https://www.eecs.harvard.edu/~kgajos/papers/2021/bucinca2021trust.shtml) – experimentelle Untersuchung kognitiver Forcing-Funktionen gegen Übervertrauen in KI-Empfehlungen.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42001:2023](https://www.iso.org/standard/81230.html) – Managementsystemstandard für verantwortungsvolle Entwicklung und Nutzung von KI.</w:t>
      </w:r>
    </w:p>
    <w:p>
      <w:pPr>
        <w:spacing w:after="140" w:line="283" w:lineRule="auto"/>
      </w:pPr>
      <w:r>
        <w:rPr>
          <w:rFonts w:ascii="Aptos" w:hAnsi="Aptos"/>
          <w:b w:val="0"/>
          <w:i w:val="0"/>
          <w:color w:val="1A2334"/>
          <w:sz w:val="21"/>
        </w:rPr>
        <w:t>*Einordnung:* Human-in-the-Loop ist weder eine einheitliche technische Architektur noch eine pauschale Rechtsanforderung für jede KI-Anwendung. Artikel 14 des AI Act betrifft Hochrisiko-KI-Systeme im gesetzlichen Anwendungsbereich; Artikel 22 DSGVO hat einen anderen, engeren Tatbestand. Dieser Artikel beschreibt ein risikobasiertes Gestaltungsmuster und ersetzt keine Prüfung des konkreten Systems, Einsatzkontexts oder aktuellen Übergangsrechts.</w:t>
      </w:r>
    </w:p>
    <w:p>
      <w:r>
        <w:br w:type="page"/>
      </w:r>
    </w:p>
    <w:p>
      <w:pPr>
        <w:keepNext/>
        <w:spacing w:before="320" w:after="120"/>
      </w:pPr>
      <w:r>
        <w:rPr>
          <w:rFonts w:ascii="Georgia" w:hAnsi="Georgia"/>
          <w:b/>
          <w:i w:val="0"/>
          <w:color w:val="1A2334"/>
          <w:sz w:val="32"/>
        </w:rPr>
        <w:t>Arbeitsvorlage: Entscheidungsgrenzen-Matrix</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Entscheidung / mögliche Wirkung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Automationszustand / erlaubte Aktion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Grenzsignal / Stop-Bedingung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Prüfakte / fehlende Evidenz</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Rolle / Kompetenz / Entscheidungsrecht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Eskalation / Frist / Stellvertretung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Testfall / Kennzahl / Review-Zyklus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Human-in-the-Loop braucht Entscheidungsgrenzen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