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2D57AA"/>
          <w:sz w:val="20"/>
        </w:rPr>
        <w:t>FURKAN SAKIZLI  ·  ESSAY · KI-PROJEKTMANAGEMENT</w:t>
      </w:r>
    </w:p>
    <w:p>
      <w:r>
        <w:rPr>
          <w:rFonts w:ascii="Georgia" w:hAnsi="Georgia"/>
          <w:b/>
          <w:sz w:val="50"/>
        </w:rPr>
        <w:t>Deep Research ist eine Kette, kein Knopf</w:t>
      </w:r>
    </w:p>
    <w:p>
      <w:r>
        <w:rPr>
          <w:i/>
          <w:color w:val="505A6E"/>
          <w:sz w:val="24"/>
        </w:rPr>
        <w:t>Mehrstufig recherchieren mit KI</w:t>
      </w:r>
    </w:p>
    <w:p>
      <w:r>
        <w:rPr>
          <w:color w:val="5F697D"/>
          <w:sz w:val="18"/>
        </w:rPr>
        <w:t>14 MIN. LESEZEIT  ·  Furkan Sakızlı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74920" cy="338328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itelbild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74920" cy="33832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Georgia" w:hAnsi="Georgia"/>
          <w:b/>
          <w:color w:val="1A2334"/>
          <w:sz w:val="30"/>
        </w:rPr>
        <w:t>Deep Research ist ein Prozess</w:t>
      </w:r>
    </w:p>
    <w:p>
      <w:pPr>
        <w:spacing w:after="100" w:line="259" w:lineRule="auto"/>
      </w:pPr>
      <w:r>
        <w:t>Eine erste Recherche kartiert den Wissensraum. Sie soll Begriffe, Lösungsfamilien, Quellenarten, Risiken und offene Punkte sichtbar machen – noch nicht die finale Empfehlung erzwingen.</w:t>
      </w:r>
    </w:p>
    <w:p>
      <w:pPr>
        <w:spacing w:after="100" w:line="259" w:lineRule="auto"/>
      </w:pPr>
      <w:r>
        <w:t>Die zweite Runde startet nicht bei null. Sie übernimmt relevante Erkenntnisse des ersten Laufs und verwandelt Widersprüche und offene Punkte in Anschlussfragen.</w:t>
      </w:r>
    </w:p>
    <w:p>
      <w:r>
        <w:rPr>
          <w:rFonts w:ascii="Georgia" w:hAnsi="Georgia"/>
          <w:b/>
          <w:color w:val="1A2334"/>
          <w:sz w:val="30"/>
        </w:rPr>
        <w:t>Wissenslücken statt Suchbegriffe</w:t>
      </w:r>
    </w:p>
    <w:p>
      <w:pPr>
        <w:spacing w:after="100" w:line="259" w:lineRule="auto"/>
      </w:pPr>
      <w:r>
        <w:t>Ein Research-Backlog trennt Grundlagen, Markt, Machbarkeit, Stakeholder, Risiken, Kosten und Gegenpositionen. Dadurch wird sichtbar, was das Projekt tatsächlich noch wissen muss.</w:t>
      </w:r>
    </w:p>
    <w:p>
      <w:pPr>
        <w:spacing w:after="100" w:line="259" w:lineRule="auto"/>
      </w:pPr>
      <w:r>
        <w:t>Nicht jede Spur wird vertieft. Relevanz, Unsicherheit, Risiko, Zeitwert und Prüfbarkeit entscheiden, welche Frage als Nächstes bearbeitet wird.</w:t>
      </w:r>
    </w:p>
    <w:p>
      <w:r>
        <w:br w:type="page"/>
      </w:r>
    </w:p>
    <w:p>
      <w:r>
        <w:rPr>
          <w:rFonts w:ascii="Georgia" w:hAnsi="Georgia"/>
          <w:b/>
          <w:color w:val="1A2334"/>
          <w:sz w:val="44"/>
        </w:rPr>
        <w:t>Übungsblatt: Research-Kette bauen</w:t>
      </w:r>
    </w:p>
    <w:p>
      <w:r>
        <w:t>Arbeite mit einer echten Projektfrage. Ziel ist nicht ein langer Prompt, sondern eine nachvollziehbare Folge von Research-Entscheidungen.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792"/>
        <w:gridCol w:w="8712"/>
      </w:tblGrid>
      <w:tr>
        <w:tc>
          <w:tcPr>
            <w:tcW w:type="dxa" w:w="5040"/>
            <w:shd w:fill="EEF3FF"/>
            <w:vAlign w:val="center"/>
          </w:tcPr>
          <w:p>
            <w:pPr>
              <w:jc w:val="center"/>
            </w:pPr>
            <w:r>
              <w:rPr>
                <w:b/>
                <w:color w:val="2F64DC"/>
                <w:sz w:val="26"/>
              </w:rPr>
              <w:t>1</w:t>
            </w:r>
          </w:p>
        </w:tc>
        <w:tc>
          <w:tcPr>
            <w:tcW w:type="dxa" w:w="5040"/>
            <w:vAlign w:val="center"/>
          </w:tcPr>
          <w:p>
            <w:r>
              <w:rPr>
                <w:b/>
                <w:sz w:val="22"/>
              </w:rPr>
              <w:t>Entscheidung klären</w:t>
            </w:r>
            <w:r>
              <w:br/>
              <w:t>Welche Entscheidung soll diese Recherche konkret vorbereiten?</w:t>
            </w:r>
          </w:p>
        </w:tc>
      </w:tr>
    </w:tbl>
    <w:p>
      <w:r>
        <w:t>________________________________________________________________________________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792"/>
        <w:gridCol w:w="8712"/>
      </w:tblGrid>
      <w:tr>
        <w:tc>
          <w:tcPr>
            <w:tcW w:type="dxa" w:w="5040"/>
            <w:shd w:fill="EEF3FF"/>
            <w:vAlign w:val="center"/>
          </w:tcPr>
          <w:p>
            <w:pPr>
              <w:jc w:val="center"/>
            </w:pPr>
            <w:r>
              <w:rPr>
                <w:b/>
                <w:color w:val="2F64DC"/>
                <w:sz w:val="26"/>
              </w:rPr>
              <w:t>2</w:t>
            </w:r>
          </w:p>
        </w:tc>
        <w:tc>
          <w:tcPr>
            <w:tcW w:type="dxa" w:w="5040"/>
            <w:vAlign w:val="center"/>
          </w:tcPr>
          <w:p>
            <w:r>
              <w:rPr>
                <w:b/>
                <w:sz w:val="22"/>
              </w:rPr>
              <w:t>Wissenslücken sammeln</w:t>
            </w:r>
            <w:r>
              <w:br/>
              <w:t>Liste mindestens sechs Punkte, die du noch nicht zuverlässig weißt.</w:t>
            </w:r>
          </w:p>
        </w:tc>
      </w:tr>
    </w:tbl>
    <w:p>
      <w:r>
        <w:t>________________________________________________________________________________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792"/>
        <w:gridCol w:w="8712"/>
      </w:tblGrid>
      <w:tr>
        <w:tc>
          <w:tcPr>
            <w:tcW w:type="dxa" w:w="5040"/>
            <w:shd w:fill="EEF3FF"/>
            <w:vAlign w:val="center"/>
          </w:tcPr>
          <w:p>
            <w:pPr>
              <w:jc w:val="center"/>
            </w:pPr>
            <w:r>
              <w:rPr>
                <w:b/>
                <w:color w:val="2F64DC"/>
                <w:sz w:val="26"/>
              </w:rPr>
              <w:t>3</w:t>
            </w:r>
          </w:p>
        </w:tc>
        <w:tc>
          <w:tcPr>
            <w:tcW w:type="dxa" w:w="5040"/>
            <w:vAlign w:val="center"/>
          </w:tcPr>
          <w:p>
            <w:r>
              <w:rPr>
                <w:b/>
                <w:sz w:val="22"/>
              </w:rPr>
              <w:t>Orientierungsrecherche schreiben</w:t>
            </w:r>
            <w:r>
              <w:br/>
              <w:t>Formuliere einen ersten Research-Auftrag, der das Feld kartiert, ohne eine Lösung festzulegen.</w:t>
            </w:r>
          </w:p>
        </w:tc>
      </w:tr>
    </w:tbl>
    <w:p>
      <w:r>
        <w:t>________________________________________________________________________________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792"/>
        <w:gridCol w:w="8712"/>
      </w:tblGrid>
      <w:tr>
        <w:tc>
          <w:tcPr>
            <w:tcW w:type="dxa" w:w="5040"/>
            <w:shd w:fill="EEF3FF"/>
            <w:vAlign w:val="center"/>
          </w:tcPr>
          <w:p>
            <w:pPr>
              <w:jc w:val="center"/>
            </w:pPr>
            <w:r>
              <w:rPr>
                <w:b/>
                <w:color w:val="2F64DC"/>
                <w:sz w:val="26"/>
              </w:rPr>
              <w:t>4</w:t>
            </w:r>
          </w:p>
        </w:tc>
        <w:tc>
          <w:tcPr>
            <w:tcW w:type="dxa" w:w="5040"/>
            <w:vAlign w:val="center"/>
          </w:tcPr>
          <w:p>
            <w:r>
              <w:rPr>
                <w:b/>
                <w:sz w:val="22"/>
              </w:rPr>
              <w:t>Anschlussfragen ableiten</w:t>
            </w:r>
            <w:r>
              <w:br/>
              <w:t>Welche drei Fragen entstehen aus dem ersten Zwischenstand?</w:t>
            </w:r>
          </w:p>
        </w:tc>
      </w:tr>
    </w:tbl>
    <w:p>
      <w:r>
        <w:t>________________________________________________________________________________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792"/>
        <w:gridCol w:w="8712"/>
      </w:tblGrid>
      <w:tr>
        <w:tc>
          <w:tcPr>
            <w:tcW w:type="dxa" w:w="5040"/>
            <w:shd w:fill="EEF3FF"/>
            <w:vAlign w:val="center"/>
          </w:tcPr>
          <w:p>
            <w:pPr>
              <w:jc w:val="center"/>
            </w:pPr>
            <w:r>
              <w:rPr>
                <w:b/>
                <w:color w:val="2F64DC"/>
                <w:sz w:val="26"/>
              </w:rPr>
              <w:t>5</w:t>
            </w:r>
          </w:p>
        </w:tc>
        <w:tc>
          <w:tcPr>
            <w:tcW w:type="dxa" w:w="5040"/>
            <w:vAlign w:val="center"/>
          </w:tcPr>
          <w:p>
            <w:r>
              <w:rPr>
                <w:b/>
                <w:sz w:val="22"/>
              </w:rPr>
              <w:t>Quellen einordnen</w:t>
            </w:r>
            <w:r>
              <w:br/>
              <w:t>Welche Aussagen brauchen Primärquellen, welche dienen nur der Orientierung?</w:t>
            </w:r>
          </w:p>
        </w:tc>
      </w:tr>
    </w:tbl>
    <w:p>
      <w:r>
        <w:t>________________________________________________________________________________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792"/>
        <w:gridCol w:w="8712"/>
      </w:tblGrid>
      <w:tr>
        <w:tc>
          <w:tcPr>
            <w:tcW w:type="dxa" w:w="5040"/>
            <w:shd w:fill="EEF3FF"/>
            <w:vAlign w:val="center"/>
          </w:tcPr>
          <w:p>
            <w:pPr>
              <w:jc w:val="center"/>
            </w:pPr>
            <w:r>
              <w:rPr>
                <w:b/>
                <w:color w:val="2F64DC"/>
                <w:sz w:val="26"/>
              </w:rPr>
              <w:t>6</w:t>
            </w:r>
          </w:p>
        </w:tc>
        <w:tc>
          <w:tcPr>
            <w:tcW w:type="dxa" w:w="5040"/>
            <w:vAlign w:val="center"/>
          </w:tcPr>
          <w:p>
            <w:r>
              <w:rPr>
                <w:b/>
                <w:sz w:val="22"/>
              </w:rPr>
              <w:t>Stop-Kriterium setzen</w:t>
            </w:r>
            <w:r>
              <w:br/>
              <w:t>Wann weißt du genug, um in Konzept oder Entscheidung überzugehen?</w:t>
            </w:r>
          </w:p>
        </w:tc>
      </w:tr>
    </w:tbl>
    <w:p>
      <w:r>
        <w:t>________________________________________________________________________________</w:t>
      </w:r>
    </w:p>
    <w:p>
      <w:r>
        <w:rPr>
          <w:b/>
          <w:color w:val="2F64DC"/>
          <w:sz w:val="26"/>
        </w:rPr>
        <w:t>Reflexion / Reflection / Yansıtma</w:t>
      </w:r>
    </w:p>
    <w:p>
      <w:r>
        <w:t>Meine wichtigste Wissenslücke: ________________________________________________________________</w:t>
      </w:r>
    </w:p>
    <w:p>
      <w:r>
        <w:t>Meine nächste Research-Frage: ________________________________________________________________</w:t>
      </w:r>
    </w:p>
    <w:sectPr w:rsidR="00FC693F" w:rsidRPr="0006063C" w:rsidSect="00034616"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