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Automatisierung erhöht den Kontrollbedarf</w:t>
      </w:r>
    </w:p>
    <w:p>
      <w:pPr>
        <w:spacing w:after="160" w:line="283" w:lineRule="auto"/>
      </w:pPr>
      <w:r>
        <w:rPr>
          <w:rFonts w:ascii="Aptos" w:hAnsi="Aptos"/>
          <w:b w:val="0"/>
          <w:i w:val="0"/>
          <w:color w:val="637087"/>
          <w:sz w:val="25"/>
        </w:rPr>
        <w:t>Warum Geschwindigkeit, Reichweite und Wiederholung automatisierter KI-Aktionen durch abgestufte Autonomie, Beobachtbarkeit, Freigaben und wirksame Stop-Regeln begrenzt werden müssen.</w:t>
      </w:r>
    </w:p>
    <w:p>
      <w:pPr>
        <w:spacing w:after="280" w:line="283" w:lineRule="auto"/>
      </w:pPr>
      <w:r>
        <w:rPr>
          <w:rFonts w:ascii="Aptos" w:hAnsi="Aptos"/>
          <w:b/>
          <w:i w:val="0"/>
          <w:color w:val="4F7CFF"/>
          <w:sz w:val="17"/>
        </w:rPr>
        <w:t>ESSAY · KI-DATENENGINEERING · 16 MIN. LESEZEIT  ·  Furkan Sakızlı</w:t>
      </w:r>
    </w:p>
    <w:p>
      <w:pPr>
        <w:spacing w:after="280"/>
        <w:jc w:val="center"/>
      </w:pPr>
      <w:r>
        <w:drawing>
          <wp:inline xmlns:a="http://schemas.openxmlformats.org/drawingml/2006/main" xmlns:pic="http://schemas.openxmlformats.org/drawingml/2006/picture">
            <wp:extent cx="6126480" cy="3447977"/>
            <wp:docPr id="1" name="Picture 1" title="Automatisierung erhöht den Kontrollbedarf" descr="Helle dreidimensionale Automatisierungslinie mit weißen Datenblöcken, transparenten Kontrolltoren, blauen Statussignalen, einem Bedienfeld und einem dezenten bernsteinfarbenen Stopppunkt."/>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Automatisierung beseitigt Arbeitsschritte, aber nicht Verantwortung. Je schneller ein System handeln, je weiter es wirken und je häufiger es Entscheidungen wiederholen kann, desto präziser müssen seine Grenzen, Signale und Eingriffspunkte gestaltet sein.</w:t>
            </w:r>
          </w:p>
        </w:tc>
      </w:tr>
    </w:tbl>
    <w:p>
      <w:pPr>
        <w:spacing w:after="140" w:line="283" w:lineRule="auto"/>
      </w:pPr>
      <w:r>
        <w:rPr>
          <w:rFonts w:ascii="Aptos" w:hAnsi="Aptos"/>
          <w:b w:val="0"/>
          <w:i w:val="0"/>
          <w:color w:val="1A2334"/>
          <w:sz w:val="21"/>
        </w:rPr>
        <w:t>Bei manueller Arbeit ist menschliche Aufmerksamkeit Teil jedes Schritts. Das ist langsam und fehleranfällig, erzeugt aber natürliche Pausen. Automatisierung entfernt diese Reibung. Ein falscher Datensatz wird nicht einmal, sondern zehntausendmal klassifiziert; eine ungeprüfte Regel verändert nicht eine Datei, sondern einen ganzen Bestand; eine fehlerhafte Nachricht erreicht nicht eine Person, sondern eine vollständige Liste.</w:t>
      </w:r>
    </w:p>
    <w:p>
      <w:pPr>
        <w:spacing w:after="140" w:line="283" w:lineRule="auto"/>
      </w:pPr>
      <w:r>
        <w:rPr>
          <w:rFonts w:ascii="Aptos" w:hAnsi="Aptos"/>
          <w:b w:val="0"/>
          <w:i w:val="0"/>
          <w:color w:val="1A2334"/>
          <w:sz w:val="21"/>
        </w:rPr>
        <w:t>Der Kontrollbedarf steigt deshalb nicht, weil Automatisierung grundsätzlich unsicher wäre. Er steigt, weil **Geschwindigkeit, Reichweite, Wiederholung, Verkettung und Unsichtbarkeit** den möglichen Schaden vervielfachen. Gute Kontrolle versucht nicht, jeden automatisierten Schritt manuell nachzuspielen. Sie konzentriert menschliche Aufmerksamkeit auf Grenzfälle und folgenrelevante Übergänge, während technische Kontrollen Routine zuverlässig begrenzen.</w:t>
      </w:r>
    </w:p>
    <w:p>
      <w:pPr>
        <w:keepNext/>
        <w:spacing w:before="320" w:after="120"/>
      </w:pPr>
      <w:r>
        <w:rPr>
          <w:rFonts w:ascii="Georgia" w:hAnsi="Georgia"/>
          <w:b/>
          <w:i w:val="0"/>
          <w:color w:val="1A2334"/>
          <w:sz w:val="32"/>
        </w:rPr>
        <w:t>Kontrolle muss mit dem Wirkungsradius wachsen</w:t>
      </w:r>
    </w:p>
    <w:p>
      <w:pPr>
        <w:spacing w:after="140" w:line="283" w:lineRule="auto"/>
      </w:pPr>
      <w:r>
        <w:rPr>
          <w:rFonts w:ascii="Aptos" w:hAnsi="Aptos"/>
          <w:b w:val="0"/>
          <w:i w:val="0"/>
          <w:color w:val="1A2334"/>
          <w:sz w:val="21"/>
        </w:rPr>
        <w:t>Die Zahl der Arbeitsschritte ist ein schlechter Risikomaßstab. Entscheidend ist die mögliche Wirkung eines Runs. Fünfhundert lesende Abfragen in einer isolierten Testkopie können weniger riskant sein als ein einziger Schreibzugriff auf einen produktiven Stammdatensatz.</w:t>
      </w:r>
    </w:p>
    <w:p>
      <w:pPr>
        <w:spacing w:after="140" w:line="283" w:lineRule="auto"/>
      </w:pPr>
      <w:r>
        <w:rPr>
          <w:rFonts w:ascii="Aptos" w:hAnsi="Aptos"/>
          <w:b w:val="0"/>
          <w:i w:val="0"/>
          <w:color w:val="1A2334"/>
          <w:sz w:val="21"/>
        </w:rPr>
        <w:t>Ein Impact-Profil betrachtet mindestens sechs Dimensionen: Sensitivität der Daten, Breite des Zielraums, Reversibilität, externe Sichtbarkeit, finanzielle oder rechtliche Wirkung und Geschwindigkeit der Ausbreitung. Hinzu kommen Modellunsicherheit und Neuartigkeit der Aufgabe. Aus dieser Kombination entsteht kein magischer Gesamtscore, sondern eine begründete Kontrollklasse.</w:t>
      </w:r>
    </w:p>
    <w:p>
      <w:pPr>
        <w:spacing w:after="140" w:line="283" w:lineRule="auto"/>
      </w:pPr>
      <w:r>
        <w:rPr>
          <w:rFonts w:ascii="Aptos" w:hAnsi="Aptos"/>
          <w:b w:val="0"/>
          <w:i w:val="0"/>
          <w:color w:val="1A2334"/>
          <w:sz w:val="21"/>
        </w:rPr>
        <w:t>Kontrolle ist damit proportional, nicht pauschal. Niedrigrisiko-Routinen dürfen flüssig laufen. Hohe Wirkung verlangt engere Rechte, kleinere Batches, stärkere Nachweise und explizite Freigaben.</w:t>
      </w:r>
    </w:p>
    <w:p>
      <w:pPr>
        <w:keepNext/>
        <w:spacing w:before="320" w:after="120"/>
      </w:pPr>
      <w:r>
        <w:rPr>
          <w:rFonts w:ascii="Georgia" w:hAnsi="Georgia"/>
          <w:b/>
          <w:i w:val="0"/>
          <w:color w:val="1A2334"/>
          <w:sz w:val="32"/>
        </w:rPr>
        <w:t>Eine Leiter der Autonomie verhindert das Alles-oder-nichts-Denken</w:t>
      </w:r>
    </w:p>
    <w:p>
      <w:pPr>
        <w:spacing w:after="140" w:line="283" w:lineRule="auto"/>
      </w:pPr>
      <w:r>
        <w:rPr>
          <w:rFonts w:ascii="Aptos" w:hAnsi="Aptos"/>
          <w:b w:val="0"/>
          <w:i w:val="0"/>
          <w:color w:val="1A2334"/>
          <w:sz w:val="21"/>
        </w:rPr>
        <w:t>Zwischen rein manueller Arbeit und vollständig autonomem Handeln liegen sinnvolle Stufen:</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**Beobachten:** Das System liest und analysiert, verändert aber nichts.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**Empfehlen:** Es schlägt Aktionen mit Begründung und Evidenz vor.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**Vorbereiten:** Es erzeugt Entwürfe, Patches oder Transaktionen in einem isolierten Bereich.</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**Ausführen mit Freigabe:** Eine autorisierte Person bestätigt den konkreten Aktionssatz.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**Begrenzt selbstständig ausführen:** Das System handelt innerhalb enger Ziele, Mengenlimits und Zeitfenster.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**Skalieren nach Evidenz:** Größere Reichweite wird erst nach stabilen Ergebnissen und Review freigeschaltet.</w:t>
            </w:r>
          </w:p>
        </w:tc>
      </w:tr>
    </w:tbl>
    <w:p>
      <w:pPr>
        <w:spacing w:after="140" w:line="283" w:lineRule="auto"/>
      </w:pPr>
      <w:r>
        <w:rPr>
          <w:rFonts w:ascii="Aptos" w:hAnsi="Aptos"/>
          <w:b w:val="0"/>
          <w:i w:val="0"/>
          <w:color w:val="1A2334"/>
          <w:sz w:val="21"/>
        </w:rPr>
        <w:t>Eine Aufgabe muss nicht dauerhaft auf derselben Stufe bleiben. Neue Datenquelle, geändertes Modell, unbekannter Dateityp oder auffällige Fehlerrate können sie automatisch zurückstufen. Autonomie ist eine widerrufbare Betriebserlaubnis, keine einmal verliehene Eigenschaft.</w:t>
      </w:r>
    </w:p>
    <w:p>
      <w:pPr>
        <w:keepNext/>
        <w:spacing w:before="320" w:after="120"/>
      </w:pPr>
      <w:r>
        <w:rPr>
          <w:rFonts w:ascii="Georgia" w:hAnsi="Georgia"/>
          <w:b/>
          <w:i w:val="0"/>
          <w:color w:val="1A2334"/>
          <w:sz w:val="32"/>
        </w:rPr>
        <w:t>Das Risikobudget macht Grenzen ausführbar</w:t>
      </w:r>
    </w:p>
    <w:p>
      <w:pPr>
        <w:spacing w:after="140" w:line="283" w:lineRule="auto"/>
      </w:pPr>
      <w:r>
        <w:rPr>
          <w:rFonts w:ascii="Aptos" w:hAnsi="Aptos"/>
          <w:b w:val="0"/>
          <w:i w:val="0"/>
          <w:color w:val="1A2334"/>
          <w:sz w:val="21"/>
        </w:rPr>
        <w:t>„Sei vorsichtig“ ist keine technische Steuerung. Ein Risikobudget übersetzt Toleranz in messbare Grenzen: maximale Zahl veränderter Objekte, erlaubte Datenklassen, Zielpfade, Kosten, Laufzeit, Fehlerrate, externe Empfänger und irreversibel ausgelöste Aktionen.</w:t>
      </w:r>
    </w:p>
    <w:p>
      <w:pPr>
        <w:spacing w:after="140" w:line="283" w:lineRule="auto"/>
      </w:pPr>
      <w:r>
        <w:rPr>
          <w:rFonts w:ascii="Aptos" w:hAnsi="Aptos"/>
          <w:b w:val="0"/>
          <w:i w:val="0"/>
          <w:color w:val="1A2334"/>
          <w:sz w:val="21"/>
        </w:rPr>
        <w:t>Budgets gelten pro Run und kumulativ. Zehn einzeln kleine Aktionen können gemeinsam eine große Wirkung haben. Deshalb zählen Systeme Volumen und Wirkung über Zeitfenster. Sobald ein Budget erreicht wird, stoppt der Lauf oder wechselt in einen Freigabemodus.</w:t>
      </w:r>
    </w:p>
    <w:p>
      <w:pPr>
        <w:spacing w:after="140" w:line="283" w:lineRule="auto"/>
      </w:pPr>
      <w:r>
        <w:rPr>
          <w:rFonts w:ascii="Aptos" w:hAnsi="Aptos"/>
          <w:b w:val="0"/>
          <w:i w:val="0"/>
          <w:color w:val="1A2334"/>
          <w:sz w:val="21"/>
        </w:rPr>
        <w:t>Ein Budget darf nicht vom ausführenden Agenten selbst erhöht werden. Änderungen benötigen eine getrennte Policy- oder Owner-Entscheidung. So bleibt die Kontrollgrenze außerhalb des Systems, das von ihrer Lockerung profitieren würde.</w:t>
      </w:r>
    </w:p>
    <w:p>
      <w:pPr>
        <w:keepNext/>
        <w:spacing w:before="320" w:after="120"/>
      </w:pPr>
      <w:r>
        <w:rPr>
          <w:rFonts w:ascii="Georgia" w:hAnsi="Georgia"/>
          <w:b/>
          <w:i w:val="0"/>
          <w:color w:val="1A2334"/>
          <w:sz w:val="32"/>
        </w:rPr>
        <w:t>Freigabepunkte gehören vor die Wirkung</w:t>
      </w:r>
    </w:p>
    <w:p>
      <w:pPr>
        <w:spacing w:after="140" w:line="283" w:lineRule="auto"/>
      </w:pPr>
      <w:r>
        <w:rPr>
          <w:rFonts w:ascii="Aptos" w:hAnsi="Aptos"/>
          <w:b w:val="0"/>
          <w:i w:val="0"/>
          <w:color w:val="1A2334"/>
          <w:sz w:val="21"/>
        </w:rPr>
        <w:t>Eine nachträgliche Benachrichtigung ist keine Freigabe. Ein Approval Gate liegt vor dem folgenreichen Übergang und zeigt genau, was passieren soll: Ziel, Aktion, Umfang, Datenklasse, erwartete Differenz, Risiken, Rückweg und verwendete Evidenz.</w:t>
      </w:r>
    </w:p>
    <w:p>
      <w:pPr>
        <w:spacing w:after="140" w:line="283" w:lineRule="auto"/>
      </w:pPr>
      <w:r>
        <w:rPr>
          <w:rFonts w:ascii="Aptos" w:hAnsi="Aptos"/>
          <w:b w:val="0"/>
          <w:i w:val="0"/>
          <w:color w:val="1A2334"/>
          <w:sz w:val="21"/>
        </w:rPr>
        <w:t>Freigaben sollten weder zu grob noch zu häufig sein. Eine Blankofreigabe für „alle nächsten Schritte“ verdeckt den tatsächlichen Aktionssatz. Ein Dialog für jede harmlose Zeile erzeugt Approval Fatigue. Sinnvoll sind semantische Batches: ein klar abgegrenzter Patch, eine Empfängerliste, ein Publikationspaket oder eine Löschliste.</w:t>
      </w:r>
    </w:p>
    <w:p>
      <w:pPr>
        <w:spacing w:after="140" w:line="283" w:lineRule="auto"/>
      </w:pPr>
      <w:r>
        <w:rPr>
          <w:rFonts w:ascii="Aptos" w:hAnsi="Aptos"/>
          <w:b w:val="0"/>
          <w:i w:val="0"/>
          <w:color w:val="1A2334"/>
          <w:sz w:val="21"/>
        </w:rPr>
        <w:t>Bei besonders hoher Wirkung kann Dual Authorization erforderlich sein. Dabei bestätigen zwei voneinander unabhängige Rollen denselben Aktionssatz. Das ist kein universelles Muss, aber ein wirksames Muster für irreversible, regulatorische oder sehr weitreichende Veränderungen.</w:t>
      </w:r>
    </w:p>
    <w:p>
      <w:pPr>
        <w:keepNext/>
        <w:spacing w:before="320" w:after="120"/>
      </w:pPr>
      <w:r>
        <w:rPr>
          <w:rFonts w:ascii="Georgia" w:hAnsi="Georgia"/>
          <w:b/>
          <w:i w:val="0"/>
          <w:color w:val="1A2334"/>
          <w:sz w:val="32"/>
        </w:rPr>
        <w:t>Beobachtbarkeit ist mehr als Logging</w:t>
      </w:r>
    </w:p>
    <w:p>
      <w:pPr>
        <w:spacing w:after="140" w:line="283" w:lineRule="auto"/>
      </w:pPr>
      <w:r>
        <w:rPr>
          <w:rFonts w:ascii="Aptos" w:hAnsi="Aptos"/>
          <w:b w:val="0"/>
          <w:i w:val="0"/>
          <w:color w:val="1A2334"/>
          <w:sz w:val="21"/>
        </w:rPr>
        <w:t>Ein Log kann vorhanden und trotzdem nutzlos sein. Kontrollierbare Automatisierung benötigt korrelierte Signale: Was war der Auftrag? Welche Versionen, Daten und Tools wurden verwendet? Welche Entscheidung führte zu welchem Aufruf? Was veränderte sich? Wie lange dauerte es? Welche Warnungen traten auf?</w:t>
      </w:r>
    </w:p>
    <w:p>
      <w:pPr>
        <w:spacing w:after="140" w:line="283" w:lineRule="auto"/>
      </w:pPr>
      <w:r>
        <w:rPr>
          <w:rFonts w:ascii="Aptos" w:hAnsi="Aptos"/>
          <w:b w:val="0"/>
          <w:i w:val="0"/>
          <w:color w:val="1A2334"/>
          <w:sz w:val="21"/>
        </w:rPr>
        <w:t>Traces verbinden einen Run über seine Schritte, Metriken zeigen Volumen, Latenz, Fehlerraten und Budgetverbrauch, Logs erklären Ereignisse. Gemeinsame Run-, Projekt- und Aktions-IDs machen die Signale zusammenführbar. Rohdaten und Geheimnisse werden dabei minimiert oder maskiert; Observability darf kein zweiter ungeschützter Datenbestand werden.</w:t>
      </w:r>
    </w:p>
    <w:p>
      <w:pPr>
        <w:spacing w:after="140" w:line="283" w:lineRule="auto"/>
      </w:pPr>
      <w:r>
        <w:rPr>
          <w:rFonts w:ascii="Aptos" w:hAnsi="Aptos"/>
          <w:b w:val="0"/>
          <w:i w:val="0"/>
          <w:color w:val="1A2334"/>
          <w:sz w:val="21"/>
        </w:rPr>
        <w:t>Dashboards sind nur dann Kontrolle, wenn Schwellenwerte zu Reaktionen führen. Ein Warnsignal braucht Owner, Priorität, Eskalationsweg und erwartete Antwortzeit. Symptomorientierte Alarme fragen, ob Wirkung oder Serviceziel verletzt werden, nicht nur, ob irgendein interner Prozess ungewöhnlich aussieht.</w:t>
      </w:r>
    </w:p>
    <w:p>
      <w:pPr>
        <w:keepNext/>
        <w:spacing w:before="320" w:after="120"/>
      </w:pPr>
      <w:r>
        <w:rPr>
          <w:rFonts w:ascii="Georgia" w:hAnsi="Georgia"/>
          <w:b/>
          <w:i w:val="0"/>
          <w:color w:val="1A2334"/>
          <w:sz w:val="32"/>
        </w:rPr>
        <w:t>Stop-Regeln müssen schnell, extern und getestet sein</w:t>
      </w:r>
    </w:p>
    <w:p>
      <w:pPr>
        <w:spacing w:after="140" w:line="283" w:lineRule="auto"/>
      </w:pPr>
      <w:r>
        <w:rPr>
          <w:rFonts w:ascii="Aptos" w:hAnsi="Aptos"/>
          <w:b w:val="0"/>
          <w:i w:val="0"/>
          <w:color w:val="1A2334"/>
          <w:sz w:val="21"/>
        </w:rPr>
        <w:t>Ein System, das stoppen soll, darf den Stopp nicht selbst wegargumentieren können. Stop-Regeln liegen außerhalb seiner frei veränderbaren Anweisungen. Sie reagieren auf harte Grenzen wie falschen Zielraum, Budgetüberschreitung, wiederholte Validierungsfehler, fehlende Freigabe, ungewöhnliche Ausbreitung oder Verlust der Beobachtbarkeit.</w:t>
      </w:r>
    </w:p>
    <w:p>
      <w:pPr>
        <w:spacing w:after="140" w:line="283" w:lineRule="auto"/>
      </w:pPr>
      <w:r>
        <w:rPr>
          <w:rFonts w:ascii="Aptos" w:hAnsi="Aptos"/>
          <w:b w:val="0"/>
          <w:i w:val="0"/>
          <w:color w:val="1A2334"/>
          <w:sz w:val="21"/>
        </w:rPr>
        <w:t>Es braucht mehrere Stop-Ebenen: einzelne Aktion verweigern, Run pausieren, Schreibrechte entziehen, Queue sperren oder den gesamten Dienst isolieren. Ein Kill Switch ohne getesteten Wirkpfad ist Dekoration. Übungen prüfen regelmäßig, ob laufende Jobs wirklich anhalten, Tokens entzogen werden und bereits vorbereitete Aktionen nicht später unbemerkt weiterlaufen.</w:t>
      </w:r>
    </w:p>
    <w:p>
      <w:pPr>
        <w:spacing w:after="140" w:line="283" w:lineRule="auto"/>
      </w:pPr>
      <w:r>
        <w:rPr>
          <w:rFonts w:ascii="Aptos" w:hAnsi="Aptos"/>
          <w:b w:val="0"/>
          <w:i w:val="0"/>
          <w:color w:val="1A2334"/>
          <w:sz w:val="21"/>
        </w:rPr>
        <w:t>Stoppen ist nur die Hälfte. Der Recovery-Plan sichert Zustand, verhindert Doppelverarbeitung, identifiziert betroffene Objekte und entscheidet zwischen Rollback, Korrekturlauf oder manueller Bearbeitung.</w:t>
      </w:r>
    </w:p>
    <w:p>
      <w:pPr>
        <w:keepNext/>
        <w:spacing w:before="320" w:after="120"/>
      </w:pPr>
      <w:r>
        <w:rPr>
          <w:rFonts w:ascii="Georgia" w:hAnsi="Georgia"/>
          <w:b/>
          <w:i w:val="0"/>
          <w:color w:val="1A2334"/>
          <w:sz w:val="32"/>
        </w:rPr>
        <w:t>Stichproben sind risikobasiert, nicht zufällig bequem</w:t>
      </w:r>
    </w:p>
    <w:p>
      <w:pPr>
        <w:spacing w:after="140" w:line="283" w:lineRule="auto"/>
      </w:pPr>
      <w:r>
        <w:rPr>
          <w:rFonts w:ascii="Aptos" w:hAnsi="Aptos"/>
          <w:b w:val="0"/>
          <w:i w:val="0"/>
          <w:color w:val="1A2334"/>
          <w:sz w:val="21"/>
        </w:rPr>
        <w:t>Vollständige manuelle Prüfung skaliert schlecht. Reine Zufallsstichproben übersehen seltene, aber teure Fehler. Ein gutes Sampling kombiniert Zufall mit gezielter Auswahl: neue Datenarten, niedrige Konfidenz, ungewöhnliche Größen, Grenzfälle, sensible Klassen, neue Tool-Versionen und Abweichungen vom bisherigen Muster.</w:t>
      </w:r>
    </w:p>
    <w:p>
      <w:pPr>
        <w:spacing w:after="140" w:line="283" w:lineRule="auto"/>
      </w:pPr>
      <w:r>
        <w:rPr>
          <w:rFonts w:ascii="Aptos" w:hAnsi="Aptos"/>
          <w:b w:val="0"/>
          <w:i w:val="0"/>
          <w:color w:val="1A2334"/>
          <w:sz w:val="21"/>
        </w:rPr>
        <w:t>Die Stichprobengröße folgt nicht nur der Menge, sondern der akzeptierten Fehlertoleranz und Konsequenz. Findings fließen in Metriken, Tests und Policy zurück. Sie dürfen nicht direkt eine globale Anweisung umschreiben; zuerst wird geprüft, ob ein Einzelfall, ein Datenproblem oder ein systematischer Fehler vorliegt.</w:t>
      </w:r>
    </w:p>
    <w:p>
      <w:pPr>
        <w:keepNext/>
        <w:spacing w:before="320" w:after="120"/>
      </w:pPr>
      <w:r>
        <w:rPr>
          <w:rFonts w:ascii="Georgia" w:hAnsi="Georgia"/>
          <w:b/>
          <w:i w:val="0"/>
          <w:color w:val="1A2334"/>
          <w:sz w:val="32"/>
        </w:rPr>
        <w:t>Kontrollnachweise müssen die Behauptung belegen</w:t>
      </w:r>
    </w:p>
    <w:p>
      <w:pPr>
        <w:spacing w:after="140" w:line="283" w:lineRule="auto"/>
      </w:pPr>
      <w:r>
        <w:rPr>
          <w:rFonts w:ascii="Aptos" w:hAnsi="Aptos"/>
          <w:b w:val="0"/>
          <w:i w:val="0"/>
          <w:color w:val="1A2334"/>
          <w:sz w:val="21"/>
        </w:rPr>
        <w:t>Ein grüner Status ist keine Evidenz. Für jeden Run werden Input-Referenzen, Konfigurations- und Modellversion, Policy-Entscheidungen, Freigaben, Diff oder Aktionsliste, Validierungsergebnisse, Budgetverbrauch und Ergebnisstatus gesichert. Hashes oder unveränderliche IDs verbinden Bericht und Artefakte.</w:t>
      </w:r>
    </w:p>
    <w:p>
      <w:pPr>
        <w:spacing w:after="140" w:line="283" w:lineRule="auto"/>
      </w:pPr>
      <w:r>
        <w:rPr>
          <w:rFonts w:ascii="Aptos" w:hAnsi="Aptos"/>
          <w:b w:val="0"/>
          <w:i w:val="0"/>
          <w:color w:val="1A2334"/>
          <w:sz w:val="21"/>
        </w:rPr>
        <w:t>Der Nachweis soll reproduzierbar genug sein, um die entscheidenden Übergänge zu erklären, ohne unnötig sensible Inhalte zu duplizieren. Provenienz verbindet Entitäten, Aktivitäten und verantwortliche Identitäten. So wird sichtbar, wer was vorbereitet, freigegeben und ausgeführt hat.</w:t>
      </w:r>
    </w:p>
    <w:p>
      <w:pPr>
        <w:keepNext/>
        <w:spacing w:before="320" w:after="120"/>
      </w:pPr>
      <w:r>
        <w:rPr>
          <w:rFonts w:ascii="Georgia" w:hAnsi="Georgia"/>
          <w:b/>
          <w:i w:val="0"/>
          <w:color w:val="1A2334"/>
          <w:sz w:val="32"/>
        </w:rPr>
        <w:t>Kontrolle beginnt vor der Produktion</w:t>
      </w:r>
    </w:p>
    <w:p>
      <w:pPr>
        <w:spacing w:after="140" w:line="283" w:lineRule="auto"/>
      </w:pPr>
      <w:r>
        <w:rPr>
          <w:rFonts w:ascii="Aptos" w:hAnsi="Aptos"/>
          <w:b w:val="0"/>
          <w:i w:val="0"/>
          <w:color w:val="1A2334"/>
          <w:sz w:val="21"/>
        </w:rPr>
        <w:t>Shadow Runs beobachten reale Inputs, dürfen aber keine Wirkung auslösen. Dry Runs berechnen Aktionen und Diffs. Canaries bearbeiten eine kleine, repräsentative Teilmenge. Erst wenn Qualitäts-, Sicherheits- und Betriebsmetriken stabil sind, wächst der Umfang.</w:t>
      </w:r>
    </w:p>
    <w:p>
      <w:pPr>
        <w:spacing w:after="140" w:line="283" w:lineRule="auto"/>
      </w:pPr>
      <w:r>
        <w:rPr>
          <w:rFonts w:ascii="Aptos" w:hAnsi="Aptos"/>
          <w:b w:val="0"/>
          <w:i w:val="0"/>
          <w:color w:val="1A2334"/>
          <w:sz w:val="21"/>
        </w:rPr>
        <w:t>Rollouts brauchen Rückstufungskriterien. Ein System darf nicht allein deshalb weiter skalieren, weil kein Alarm ausgelöst wurde. Fehlende Telemetrie, unzureichende Stichproben oder nicht geprüfte Randfälle sind selbst Gründe, die Reichweite nicht zu erhöhen.</w:t>
      </w:r>
    </w:p>
    <w:p>
      <w:pPr>
        <w:keepNext/>
        <w:spacing w:before="320" w:after="120"/>
      </w:pPr>
      <w:r>
        <w:rPr>
          <w:rFonts w:ascii="Georgia" w:hAnsi="Georgia"/>
          <w:b/>
          <w:i w:val="0"/>
          <w:color w:val="1A2334"/>
          <w:sz w:val="32"/>
        </w:rPr>
        <w:t>Methode: SCOPE → CLASSIFY → BUDGET → GATE → OBSERVE → STOP → PROVE → IMPROVE</w:t>
      </w:r>
    </w:p>
    <w:p>
      <w:pPr>
        <w:spacing w:after="140" w:line="283" w:lineRule="auto"/>
      </w:pPr>
      <w:r>
        <w:rPr>
          <w:rFonts w:ascii="Aptos" w:hAnsi="Aptos"/>
          <w:b w:val="0"/>
          <w:i w:val="0"/>
          <w:color w:val="1A2334"/>
          <w:sz w:val="21"/>
        </w:rPr>
        <w:t>**SCOPE** grenzt Ziel und Datenraum ein. **CLASSIFY** bestimmt Wirkung und Reversibilität. **BUDGET** setzt ausführbare Mengen- und Risikogrenzen. **GATE** platziert Freigaben vor folgenreichen Übergängen. **OBSERVE** korreliert Logs, Metriken und Traces. **STOP** beendet Abweichungen über externe Regeln. **PROVE** sichert Evidenz und Provenienz. **IMPROVE** passt Schwellenwerte nach Review kontrolliert an.</w:t>
      </w:r>
    </w:p>
    <w:p>
      <w:pPr>
        <w:spacing w:after="140" w:line="283" w:lineRule="auto"/>
      </w:pPr>
      <w:r>
        <w:rPr>
          <w:rFonts w:ascii="Aptos" w:hAnsi="Aptos"/>
          <w:b w:val="0"/>
          <w:i w:val="0"/>
          <w:color w:val="1A2334"/>
          <w:sz w:val="21"/>
        </w:rPr>
        <w:t>Das Ziel ist nicht maximale menschliche Beteiligung, sondern maximale Beherrschbarkeit. Gute Automatisierung macht Routine leise und zuverlässig – und macht außergewöhnliche Wirkung früh, klar und stoppbar sichtbar.</w:t>
      </w:r>
    </w:p>
    <w:p>
      <w:pPr>
        <w:keepNext/>
        <w:spacing w:before="320" w:after="120"/>
      </w:pPr>
      <w:r>
        <w:rPr>
          <w:rFonts w:ascii="Georgia" w:hAnsi="Georgia"/>
          <w:b/>
          <w:i w:val="0"/>
          <w:color w:val="1A2334"/>
          <w:sz w:val="32"/>
        </w:rPr>
        <w:t>Übungsblatt: Entwirf einen Automation Control Plan</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Wähle einen realen automatisierten Prozess und beschreibe Ziel, Datenraum und externe Wirkung.</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Erstelle ein Impact-Profil aus Sensitivität, Reichweite, Reversibilität, Sichtbarkeit und Ausbreitung.</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Ordne den Prozess einer Autonomiestufe zu und begründe die Einstufung.</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Definiere mindestens fünf maschinenprüfbare Risikobudgets.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Platziere Approval Gates und beschreibe den angezeigten Evidenzsatz.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Lege Metriken, Traces, Logs, Alarm-Owner und Reaktionszeiten fest.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Formuliere Stop-, Recovery-, Sampling- und Rückstufungsregeln.</w:t>
            </w:r>
          </w:p>
        </w:tc>
      </w:tr>
    </w:tbl>
    <w:p>
      <w:pPr>
        <w:keepNext/>
        <w:spacing w:before="220" w:after="120"/>
      </w:pPr>
      <w:r>
        <w:rPr>
          <w:rFonts w:ascii="Georgia" w:hAnsi="Georgia"/>
          <w:b/>
          <w:i w:val="0"/>
          <w:color w:val="1A2334"/>
          <w:sz w:val="25"/>
        </w:rPr>
        <w:t>Reflexion</w:t>
      </w:r>
    </w:p>
    <w:p>
      <w:pPr>
        <w:spacing w:after="140" w:line="283" w:lineRule="auto"/>
      </w:pPr>
      <w:r>
        <w:rPr>
          <w:rFonts w:ascii="Aptos" w:hAnsi="Aptos"/>
          <w:b w:val="0"/>
          <w:i w:val="0"/>
          <w:color w:val="1A2334"/>
          <w:sz w:val="21"/>
        </w:rPr>
        <w:t>Welche Wirkung kann sich heute schneller ausbreiten, als Ihr Team reagieren kann? _______________________</w:t>
      </w:r>
    </w:p>
    <w:p>
      <w:pPr>
        <w:spacing w:after="140" w:line="283" w:lineRule="auto"/>
      </w:pPr>
      <w:r>
        <w:rPr>
          <w:rFonts w:ascii="Aptos" w:hAnsi="Aptos"/>
          <w:b w:val="0"/>
          <w:i w:val="0"/>
          <w:color w:val="1A2334"/>
          <w:sz w:val="21"/>
        </w:rPr>
        <w:t>Welche Freigabe findet derzeit erst nach der entscheidenden Aktion statt? ______________________________</w:t>
      </w:r>
    </w:p>
    <w:p>
      <w:pPr>
        <w:keepNext/>
        <w:spacing w:before="320" w:after="120"/>
      </w:pPr>
      <w:r>
        <w:rPr>
          <w:rFonts w:ascii="Georgia" w:hAnsi="Georgia"/>
          <w:b/>
          <w:i w:val="0"/>
          <w:color w:val="1A2334"/>
          <w:sz w:val="32"/>
        </w:rPr>
        <w:t>Quellen und fachliche Einordnung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1.0 – Core](https://airc.nist.gov/airmf-resources/airmf/5-sec-core/) – Govern, Map, Measure und Manage als zusammenhängende Funktionen des KI-Risikomanagements.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Playbook – Govern](https://airc.nist.gov/airmf-resources/playbook/govern/) – dokumentierte Policies, Verantwortlichkeiten und Überwachung als organisatorische Grundlage.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SP 800-53 Rev. 5](https://csrc.nist.gov/pubs/sp/800/53/r5/upd1/final) – Controls zu Least Privilege, Dual Authorization, Audit, kontinuierlicher Überwachung und Incident Response.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[OWASP LLM06:2025 Excessive Agency](https://genai.owasp.org/llmrisk/llm062025-excessive-agency/) – Risiken aus überbreiter Funktionalität, Berechtigung und Autonomie agentischer Systeme.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[OpenTelemetry – Observability Primer](https://opentelemetry.io/docs/concepts/observability-primer/) – Logs, Metriken und Traces als korrelierbare Signale für Systemverhalten.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[SRE Workbook – Alerting on SLOs](https://sre.google/workbook/alerting-on-slos/) – symptomorientierte Alarmierung und Burn-Rate-Ansätze für belastbare Serviceziele.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Provenienzmodell für Entitäten, Aktivitäten und verantwortliche Akteure.</w:t>
      </w:r>
    </w:p>
    <w:p>
      <w:r>
        <w:br w:type="page"/>
      </w:r>
    </w:p>
    <w:p>
      <w:pPr>
        <w:keepNext/>
        <w:spacing w:before="320" w:after="120"/>
      </w:pPr>
      <w:r>
        <w:rPr>
          <w:rFonts w:ascii="Georgia" w:hAnsi="Georgia"/>
          <w:b/>
          <w:i w:val="0"/>
          <w:color w:val="1A2334"/>
          <w:sz w:val="32"/>
        </w:rPr>
        <w:t>Arbeitsvorlage: Automation Control Plan</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Eintrag</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Prozess / Ziel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Impact-Profil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Autonomiestufe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Risikobudgets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Approval Gates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Signale / Alarme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Stop / Recovery</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Automatisierung erhöht den Kontrollbedarf</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